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</w:rPr>
        <w:t>Mulla koostise ja mullaorganismide uurimine digimikroskoobiga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0"/>
          <w:szCs w:val="1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Vanuseaste: </w:t>
      </w:r>
      <w:r>
        <w:rPr>
          <w:rFonts w:eastAsia="Times New Roman" w:cs="Times New Roman"/>
          <w:color w:val="000000"/>
        </w:rPr>
        <w:t>6. klass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Materjali tüüp: </w:t>
      </w:r>
      <w:r>
        <w:rPr>
          <w:rFonts w:eastAsia="Times New Roman" w:cs="Times New Roman"/>
          <w:color w:val="000000"/>
        </w:rPr>
        <w:t>Õpilase tööleht (täiendav versioon)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Eesmärk:</w:t>
      </w:r>
    </w:p>
    <w:p w:rsidR="00C412D7" w:rsidRDefault="00FD0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Digimikroskoobiga lähivaatel kirjeldatakse ja võrreldakse erineva koostisega mullaproove (aiamuld ja turvasmuld)</w:t>
      </w:r>
    </w:p>
    <w:p w:rsidR="00C412D7" w:rsidRDefault="00FD0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Digimikroskoobiga lähivaatel mullaorganismi (hooghännalise) uurimine</w:t>
      </w:r>
    </w:p>
    <w:p w:rsidR="00C412D7" w:rsidRDefault="00FD0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Vee liikumise uurimine mullas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Seos õpitulemustega:</w:t>
      </w:r>
    </w:p>
    <w:p w:rsidR="00C412D7" w:rsidRDefault="00FD0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Õpilane: kirjeldab ja v</w:t>
      </w:r>
      <w:r>
        <w:rPr>
          <w:rFonts w:eastAsia="Times New Roman" w:cs="Times New Roman"/>
          <w:color w:val="000000"/>
        </w:rPr>
        <w:t>õrdleb erinevaid mullaproove, nimetades mulla koostisosi; põhjendab katsega, et mullas on vett;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Põhimõisted: </w:t>
      </w:r>
      <w:r>
        <w:rPr>
          <w:rFonts w:eastAsia="Times New Roman" w:cs="Times New Roman"/>
        </w:rPr>
        <w:t>muld, mullaproov, mulla koostisosad.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SISSEJUHATUS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Muld koosneb peamiselt tahkest ainest. Selles eristatakse omakorda lähtekivimist pärinevat mine</w:t>
      </w:r>
      <w:r>
        <w:rPr>
          <w:rFonts w:eastAsia="Times New Roman" w:cs="Times New Roman"/>
          <w:i/>
          <w:color w:val="000000"/>
        </w:rPr>
        <w:t xml:space="preserve">raalset ning taimede loodud orgaanilist (kõdunevad taimejäänused, huumus) osa. Enamuse mulla tahkest ainest moodustab mineraalosa, mis sisaldab vähem või rohkem kõiki taimedele vajalikke mineraalseid toiteelemente. Mulla orgaanilise aine, eelkõige huumuse </w:t>
      </w:r>
      <w:r>
        <w:rPr>
          <w:rFonts w:eastAsia="Times New Roman" w:cs="Times New Roman"/>
          <w:i/>
          <w:color w:val="000000"/>
        </w:rPr>
        <w:t>osatähtsus on tunduvalt väiksem, Eesti põllumuldades ainult 2-5%. Mullas leidub alati ka teatav kogus vett ja õhku. (2003, Rooma)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Paljud mullabioloogid on tsiteerinud mõtet, mis on välja öeldud juba 1979 aastal: mulla ökosüsteem on vaese mehe vihmamets. Kes ei jõua troopikasse sõita, võib kaevata end maa sisse ning ta leiab eest samasuguse mitmekesisuse.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Ühe enim levinud klassifikats</w:t>
      </w:r>
      <w:r>
        <w:rPr>
          <w:rFonts w:eastAsia="Times New Roman" w:cs="Times New Roman"/>
          <w:i/>
          <w:color w:val="000000"/>
        </w:rPr>
        <w:t xml:space="preserve">iooni järgi jaotub mullaelustik talitluse alusel kolmeks. Esimene rühm on lagundajad, kes kõik osalevad lagunemisprotsessides, lagunemise eri astmetel. Siia kuulub mulla mikroobikooslus, seened, hooghännalised, osa lestadest, valgeliimuklased, vihmaussid. </w:t>
      </w:r>
      <w:r>
        <w:rPr>
          <w:rFonts w:eastAsia="Times New Roman" w:cs="Times New Roman"/>
          <w:i/>
          <w:color w:val="000000"/>
        </w:rPr>
        <w:t>(2004, Kukk)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PROBLEEM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Mis erinevus on aiamullal ja turvasmullal? Milline näeb lähivaates välja üks mullaorganism? Kuidas vesi mullas liigub?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lastRenderedPageBreak/>
        <w:br w:type="page"/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KATSEVAHENDID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Digimikroskoop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Mullaproovid (aiamuld, turvasmuld)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Petri tassid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Klaaspulgad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Tahvelarvutid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Õpik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 plastpudel, millel on põhi ära lõigatud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 pooleliitrist purki (üks peale valatava ja teine läbiimbunud vee jaoks)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tükike marlit ja kumm (või niit) selle kinnitamiseks ümber pudelisuu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mõõduklaas või mõõdusilinder mullast läbivoolanud vee mõõtmiseks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KAT</w:t>
      </w:r>
      <w:r>
        <w:rPr>
          <w:rFonts w:eastAsia="Times New Roman" w:cs="Times New Roman"/>
          <w:b/>
          <w:color w:val="000000"/>
        </w:rPr>
        <w:t>SE KORRALDUS JA LÄBIVIIMINE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a)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Lülita sisse digimikroskoop ja ühenda see tahvelarvutiga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Aseta </w:t>
      </w:r>
      <w:r>
        <w:rPr>
          <w:rFonts w:eastAsia="Times New Roman" w:cs="Times New Roman"/>
          <w:b/>
          <w:color w:val="000000"/>
        </w:rPr>
        <w:t>esimene</w:t>
      </w:r>
      <w:r>
        <w:rPr>
          <w:rFonts w:eastAsia="Times New Roman" w:cs="Times New Roman"/>
          <w:color w:val="000000"/>
        </w:rPr>
        <w:t xml:space="preserve"> mullaproov Petri tassiga mikroskoopi alusele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Jälgi tahvelarvutist mullaosakesi, sega klaaspulgaga, et erinevad osakesed paremini nähtavale tuleksid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Jälgi, mis moodustavad mulla mineraalse osa, täida ülesanded töölehel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Jälgi, mis moodustavad mulla orgaanilise osa, täida ülesanded töölehel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Aseta </w:t>
      </w:r>
      <w:r>
        <w:rPr>
          <w:rFonts w:eastAsia="Times New Roman" w:cs="Times New Roman"/>
          <w:b/>
          <w:color w:val="000000"/>
        </w:rPr>
        <w:t>teine</w:t>
      </w:r>
      <w:r>
        <w:rPr>
          <w:rFonts w:eastAsia="Times New Roman" w:cs="Times New Roman"/>
          <w:color w:val="000000"/>
        </w:rPr>
        <w:t xml:space="preserve"> mullaproov Petri tassiga mikroskoopi alusele ja jätka punktid 3-5.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Leia oma mullast elus organism (vihm</w:t>
      </w:r>
      <w:r>
        <w:rPr>
          <w:rFonts w:eastAsia="Times New Roman" w:cs="Times New Roman"/>
          <w:color w:val="000000"/>
        </w:rPr>
        <w:t>auss, hooghännaline, lestaline) ning täida ülesanded töölehel.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b)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Suurel äralõigatud põhjaga läbipaistvatel plastpudelitel seo (või kinnitage kummiga) korgi asemele marli. Paiguta plastpudelid otsapidi pooleliitrisesse purki. Täida plastpudel pooles mahus erinevate mullaproovidega.</w:t>
      </w:r>
    </w:p>
    <w:p w:rsidR="00C412D7" w:rsidRDefault="00FD0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Mõõda purki pool liitritvett (500 ml). </w:t>
      </w:r>
      <w:r>
        <w:rPr>
          <w:rFonts w:eastAsia="Times New Roman" w:cs="Times New Roman"/>
          <w:color w:val="000000"/>
        </w:rPr>
        <w:t>Vala ETTEVAATLIKULT kogu vesi mullale. 5 minuti pärast mõõda mõõtesilindriga mullast läbiimbunud vee hulk.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TULEMUSED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a)</w:t>
      </w:r>
    </w:p>
    <w:p w:rsidR="00C412D7" w:rsidRDefault="00FD04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Jooni alla milliseid mullaosakesi näed mõlemas mullaproovis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liiv, savi, kruus, kivikesed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Hinda, milliseid osakesi on mullaproovis kõige rohkem.</w:t>
      </w:r>
    </w:p>
    <w:p w:rsidR="00C412D7" w:rsidRDefault="00FD04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Aiamullas on rohkem</w:t>
      </w:r>
    </w:p>
    <w:p w:rsidR="00C412D7" w:rsidRDefault="00FD04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Turvasmullas on rohkem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Jälgi, millistest orgaanilisest osast koosneb muld.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huumus, lehed, okkad, esimese aasta võrsed, koor, peened juured, jämedad juured, käbid,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Võrdle aiamulda ja turvasmulda, Too välja 4 sarnasust ja erinevust.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4434205" cy="3208655"/>
                <wp:effectExtent l="0" t="0" r="0" b="0"/>
                <wp:wrapSquare wrapText="bothSides" distT="114300" distB="114300" distL="114300" distR="114300"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660" y="2180435"/>
                          <a:ext cx="4424680" cy="31991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7" w:rsidRDefault="00C412D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412D7" w:rsidRDefault="00C412D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4434205" cy="3208655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4205" cy="3208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127000</wp:posOffset>
                </wp:positionV>
                <wp:extent cx="4300855" cy="3122930"/>
                <wp:effectExtent l="0" t="0" r="0" b="0"/>
                <wp:wrapSquare wrapText="bothSides" distT="114300" distB="114300" distL="114300" distR="114300"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0335" y="2223298"/>
                          <a:ext cx="4291330" cy="311340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7" w:rsidRDefault="00C412D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412D7" w:rsidRDefault="00C412D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127000</wp:posOffset>
                </wp:positionV>
                <wp:extent cx="4300855" cy="312293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855" cy="312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Leia oma mullast mullaorganism ning visanda temast joonis siia. 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139700</wp:posOffset>
                </wp:positionV>
                <wp:extent cx="3336290" cy="2424430"/>
                <wp:effectExtent l="0" t="0" r="0" b="0"/>
                <wp:wrapTopAndBottom distT="114300" distB="114300"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2618" y="2572548"/>
                          <a:ext cx="3326765" cy="2414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2D7" w:rsidRDefault="00C412D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412D7" w:rsidRDefault="00C412D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139700</wp:posOffset>
                </wp:positionV>
                <wp:extent cx="3336290" cy="2424430"/>
                <wp:effectExtent b="0" l="0" r="0" t="0"/>
                <wp:wrapTopAndBottom distB="114300" distT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6290" cy="2424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Mis on selle mullaorganismi tähtsus mullas? Kasuta vajadusel abimaterjale (õpik, Internet).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8. Seleta oma sõnadega, kuidas saad aru väitest, et </w:t>
      </w:r>
      <w:r>
        <w:rPr>
          <w:rFonts w:eastAsia="Times New Roman" w:cs="Times New Roman"/>
          <w:i/>
          <w:color w:val="000000"/>
        </w:rPr>
        <w:t>mulla ökosüsteem on vaese mehe vihmamets.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b)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Kui palju vett läbi mulla imbus?....................ml</w:t>
      </w: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Kas mullaga toimus mingi muutus? Kirjelda: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Miks ei ole vett sama palju kui enne? Kuhu vesi kadus?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Kuidas see võimalik on?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Kas vesi liigub mullas ka alt üles?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FD044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Tee ettepanekuid, kuidas seda kontrollida.</w:t>
      </w: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C412D7" w:rsidRDefault="00C4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sectPr w:rsidR="00C412D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44" w:rsidRDefault="00FD0444">
      <w:pPr>
        <w:spacing w:line="240" w:lineRule="auto"/>
        <w:ind w:left="0" w:hanging="2"/>
      </w:pPr>
      <w:r>
        <w:separator/>
      </w:r>
    </w:p>
  </w:endnote>
  <w:endnote w:type="continuationSeparator" w:id="0">
    <w:p w:rsidR="00FD0444" w:rsidRDefault="00FD04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D7" w:rsidRDefault="00FD0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12D7" w:rsidRDefault="00FD0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C412D7" w:rsidRDefault="00FD0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C412D7" w:rsidRDefault="00FD0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  <w:p w:rsidR="00C412D7" w:rsidRDefault="00C412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44" w:rsidRDefault="00FD0444">
      <w:pPr>
        <w:spacing w:line="240" w:lineRule="auto"/>
        <w:ind w:left="0" w:hanging="2"/>
      </w:pPr>
      <w:r>
        <w:separator/>
      </w:r>
    </w:p>
  </w:footnote>
  <w:footnote w:type="continuationSeparator" w:id="0">
    <w:p w:rsidR="00FD0444" w:rsidRDefault="00FD044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B6D"/>
    <w:multiLevelType w:val="multilevel"/>
    <w:tmpl w:val="1BA26A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1" w15:restartNumberingAfterBreak="0">
    <w:nsid w:val="2F187941"/>
    <w:multiLevelType w:val="multilevel"/>
    <w:tmpl w:val="2682A3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2" w15:restartNumberingAfterBreak="0">
    <w:nsid w:val="64DF155C"/>
    <w:multiLevelType w:val="multilevel"/>
    <w:tmpl w:val="5D3635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3" w15:restartNumberingAfterBreak="0">
    <w:nsid w:val="79A618F4"/>
    <w:multiLevelType w:val="multilevel"/>
    <w:tmpl w:val="128610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7"/>
    <w:rsid w:val="00C412D7"/>
    <w:rsid w:val="00CC1698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F19"/>
  <w15:docId w15:val="{66805EE7-46FF-46F9-AE82-50C3018B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Pealkiri1">
    <w:name w:val="heading 1"/>
    <w:basedOn w:val="Normaallaad"/>
    <w:next w:val="Normaallaad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rvilineloendrhk11">
    <w:name w:val="Värviline loend – rõhk 11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line="240" w:lineRule="auto"/>
    </w:pPr>
  </w:style>
  <w:style w:type="character" w:customStyle="1" w:styleId="PisMrk">
    <w:name w:val="Päi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line="240" w:lineRule="auto"/>
    </w:pPr>
  </w:style>
  <w:style w:type="character" w:customStyle="1" w:styleId="JalusMrk">
    <w:name w:val="Jalu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alkiri1Mrk">
    <w:name w:val="Pealkiri 1 Mär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ealkiri2Mrk">
    <w:name w:val="Pealkiri 2 Märk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3Mrk">
    <w:name w:val="Pealkiri 3 Märk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4Mrk">
    <w:name w:val="Pealkiri 4 Mär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5Mrk">
    <w:name w:val="Pealkiri 5 Mär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6Mrk">
    <w:name w:val="Pealkiri 6 Mär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ealkiri7Mrk">
    <w:name w:val="Pealkiri 7 Mär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8Mrk">
    <w:name w:val="Pealkiri 8 Mär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9Mrk">
    <w:name w:val="Pealkiri 9 Märk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paragraph" w:styleId="Pealdis">
    <w:name w:val="caption"/>
    <w:basedOn w:val="Normaallaad"/>
    <w:next w:val="Normaallaad"/>
    <w:rPr>
      <w:b/>
      <w:bCs/>
      <w:sz w:val="18"/>
      <w:szCs w:val="18"/>
    </w:rPr>
  </w:style>
  <w:style w:type="paragraph" w:customStyle="1" w:styleId="Tiitel">
    <w:name w:val="Tiitel"/>
    <w:basedOn w:val="Normaallaad"/>
    <w:next w:val="Normaallaa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itelMrk">
    <w:name w:val="Tiitel Märk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pealkiriMrk">
    <w:name w:val="Alapealkiri Märk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ug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hutu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Keskminekoordinaatvrk21">
    <w:name w:val="Keskmine koordinaatvõrk 21"/>
    <w:basedOn w:val="Normaallaad"/>
    <w:rPr>
      <w:szCs w:val="32"/>
    </w:rPr>
  </w:style>
  <w:style w:type="character" w:customStyle="1" w:styleId="Keskminekoordinaatvrk2Mrk">
    <w:name w:val="Keskmine koordinaatvõrk 2 Märk"/>
    <w:rPr>
      <w:w w:val="100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Vrvilinekoordinaatvrkrhk11">
    <w:name w:val="Värviline koordinaatvõrk – rõhk 11"/>
    <w:basedOn w:val="Normaallaad"/>
    <w:next w:val="Normaallaad"/>
    <w:rPr>
      <w:i/>
    </w:rPr>
  </w:style>
  <w:style w:type="character" w:customStyle="1" w:styleId="Vrvilinekoordinaatvrkrhk1Mrk">
    <w:name w:val="Värviline koordinaatvõrk – rõhk 1 Märk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levarjustusrhk21">
    <w:name w:val="Hele varjustus – rõhk 21"/>
    <w:basedOn w:val="Normaallaad"/>
    <w:next w:val="Normaallaad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avatabel31">
    <w:name w:val="Tavatabel 31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Tavatabel41">
    <w:name w:val="Tavatabel 41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vatabel51">
    <w:name w:val="Tavatabel 51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bleGridLight">
    <w:name w:val="Table Grid Light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leruuttabel11">
    <w:name w:val="Hele ruuttabel 11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uuttabel31">
    <w:name w:val="Ruuttabel 31"/>
    <w:basedOn w:val="Pealkiri1"/>
    <w:next w:val="Normaallaad"/>
    <w:qFormat/>
    <w:pPr>
      <w:outlineLvl w:val="9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BGxSkb3JJANYVpNl3r/aTd+Q==">AMUW2mWn5YQAuOf1p43XziaBUhH02WIIu9TviSjdJWO9mfuxq/6KvRfu18uKDohp8qRllkqNzaYa+DTRkJjwzEWP82adKMWOiet98b5NACwf5Op9BDUNfSc=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2</cp:revision>
  <dcterms:created xsi:type="dcterms:W3CDTF">2018-09-19T12:29:00Z</dcterms:created>
  <dcterms:modified xsi:type="dcterms:W3CDTF">2021-09-18T13:32:00Z</dcterms:modified>
</cp:coreProperties>
</file>