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19C" w:rsidRDefault="00DB600A">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Neutralisatsioonireaktsioonis toimuvate </w:t>
      </w:r>
      <w:proofErr w:type="spellStart"/>
      <w:r>
        <w:rPr>
          <w:rFonts w:ascii="Times New Roman" w:eastAsia="Times New Roman" w:hAnsi="Times New Roman" w:cs="Times New Roman"/>
          <w:b/>
          <w:sz w:val="28"/>
          <w:szCs w:val="28"/>
        </w:rPr>
        <w:t>pH</w:t>
      </w:r>
      <w:proofErr w:type="spellEnd"/>
      <w:r>
        <w:rPr>
          <w:rFonts w:ascii="Times New Roman" w:eastAsia="Times New Roman" w:hAnsi="Times New Roman" w:cs="Times New Roman"/>
          <w:b/>
          <w:sz w:val="28"/>
          <w:szCs w:val="28"/>
        </w:rPr>
        <w:t>-muutuste uurimine</w:t>
      </w:r>
    </w:p>
    <w:p w:rsidR="0058019C" w:rsidRDefault="0058019C">
      <w:pPr>
        <w:spacing w:after="0" w:line="240" w:lineRule="auto"/>
        <w:jc w:val="both"/>
        <w:rPr>
          <w:rFonts w:ascii="Times New Roman" w:eastAsia="Times New Roman" w:hAnsi="Times New Roman" w:cs="Times New Roman"/>
          <w:sz w:val="24"/>
          <w:szCs w:val="24"/>
        </w:rPr>
      </w:pPr>
    </w:p>
    <w:p w:rsidR="0058019C" w:rsidRDefault="00DB600A">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Vanuseaste: </w:t>
      </w:r>
      <w:r>
        <w:rPr>
          <w:rFonts w:ascii="Times New Roman" w:eastAsia="Times New Roman" w:hAnsi="Times New Roman" w:cs="Times New Roman"/>
          <w:sz w:val="24"/>
          <w:szCs w:val="24"/>
        </w:rPr>
        <w:t>8. klass</w:t>
      </w:r>
    </w:p>
    <w:p w:rsidR="0058019C" w:rsidRDefault="00DB600A">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Materjali tüüp: </w:t>
      </w:r>
      <w:r>
        <w:rPr>
          <w:rFonts w:ascii="Times New Roman" w:eastAsia="Times New Roman" w:hAnsi="Times New Roman" w:cs="Times New Roman"/>
          <w:sz w:val="24"/>
          <w:szCs w:val="24"/>
        </w:rPr>
        <w:t>õpilase tööleht (põhivariant)</w:t>
      </w:r>
      <w:bookmarkStart w:id="0" w:name="_GoBack"/>
      <w:bookmarkEnd w:id="0"/>
    </w:p>
    <w:p w:rsidR="0058019C" w:rsidRDefault="00DB600A">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Eesmärk: </w:t>
      </w:r>
      <w:r>
        <w:rPr>
          <w:rFonts w:ascii="Times New Roman" w:eastAsia="Times New Roman" w:hAnsi="Times New Roman" w:cs="Times New Roman"/>
          <w:sz w:val="24"/>
          <w:szCs w:val="24"/>
        </w:rPr>
        <w:t xml:space="preserve">uurida reaktsioonisegu </w:t>
      </w:r>
      <w:proofErr w:type="spellStart"/>
      <w:r>
        <w:rPr>
          <w:rFonts w:ascii="Times New Roman" w:eastAsia="Times New Roman" w:hAnsi="Times New Roman" w:cs="Times New Roman"/>
          <w:sz w:val="24"/>
          <w:szCs w:val="24"/>
        </w:rPr>
        <w:t>pH</w:t>
      </w:r>
      <w:proofErr w:type="spellEnd"/>
      <w:r>
        <w:rPr>
          <w:rFonts w:ascii="Times New Roman" w:eastAsia="Times New Roman" w:hAnsi="Times New Roman" w:cs="Times New Roman"/>
          <w:sz w:val="24"/>
          <w:szCs w:val="24"/>
        </w:rPr>
        <w:t xml:space="preserve"> muutumist neutralisatsioonireaktsiooni kulgemisel</w:t>
      </w:r>
    </w:p>
    <w:p w:rsidR="0058019C" w:rsidRDefault="00DB600A">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Seos õpitulemustega</w:t>
      </w:r>
      <w:r>
        <w:rPr>
          <w:rFonts w:ascii="Times New Roman" w:eastAsia="Times New Roman" w:hAnsi="Times New Roman" w:cs="Times New Roman"/>
          <w:sz w:val="24"/>
          <w:szCs w:val="24"/>
        </w:rPr>
        <w:t xml:space="preserve">: </w:t>
      </w:r>
    </w:p>
    <w:p w:rsidR="0058019C" w:rsidRDefault="00DB600A">
      <w:pPr>
        <w:numPr>
          <w:ilvl w:val="0"/>
          <w:numId w:val="4"/>
        </w:numPr>
        <w:spacing w:before="120"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mõistab hapete ja aluste vastandlikkust (võimet teineteist neutraliseerida);</w:t>
      </w:r>
    </w:p>
    <w:p w:rsidR="0058019C" w:rsidRDefault="00DB600A">
      <w:pPr>
        <w:numPr>
          <w:ilvl w:val="0"/>
          <w:numId w:val="4"/>
        </w:num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hindab lahuse happelisust, aluselisust või neutraalsust lahuse </w:t>
      </w:r>
      <w:proofErr w:type="spellStart"/>
      <w:r>
        <w:rPr>
          <w:rFonts w:ascii="Times New Roman" w:eastAsia="Times New Roman" w:hAnsi="Times New Roman" w:cs="Times New Roman"/>
          <w:sz w:val="24"/>
          <w:szCs w:val="24"/>
          <w:highlight w:val="white"/>
        </w:rPr>
        <w:t>pH</w:t>
      </w:r>
      <w:proofErr w:type="spellEnd"/>
      <w:r>
        <w:rPr>
          <w:rFonts w:ascii="Times New Roman" w:eastAsia="Times New Roman" w:hAnsi="Times New Roman" w:cs="Times New Roman"/>
          <w:sz w:val="24"/>
          <w:szCs w:val="24"/>
          <w:highlight w:val="white"/>
        </w:rPr>
        <w:t xml:space="preserve"> väärtuse järgi;</w:t>
      </w:r>
    </w:p>
    <w:p w:rsidR="0058019C" w:rsidRDefault="00DB600A">
      <w:pPr>
        <w:numPr>
          <w:ilvl w:val="0"/>
          <w:numId w:val="4"/>
        </w:num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järgib leeliste ja tugevate hapetega töötades ohutusnõudeid;</w:t>
      </w:r>
    </w:p>
    <w:p w:rsidR="0058019C" w:rsidRDefault="00DB600A">
      <w:pPr>
        <w:numPr>
          <w:ilvl w:val="0"/>
          <w:numId w:val="4"/>
        </w:num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koostab ning tasakaalustab lihtsamate hapete ja aluste vaheliste reaktsioonide võrrandeid, korraldab neid reaktsioone ohutult;</w:t>
      </w:r>
    </w:p>
    <w:p w:rsidR="0058019C" w:rsidRDefault="00DB600A">
      <w:pPr>
        <w:numPr>
          <w:ilvl w:val="0"/>
          <w:numId w:val="4"/>
        </w:num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rakendab teadusuuringute põhimõtteid;</w:t>
      </w:r>
    </w:p>
    <w:p w:rsidR="0058019C" w:rsidRDefault="00DB600A">
      <w:pPr>
        <w:numPr>
          <w:ilvl w:val="0"/>
          <w:numId w:val="4"/>
        </w:num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plaanib ja teeb ohutult lihtsamaid keemiakatseid, mõistab igapäevaelus kasutatavate kemikaalide ja materjalide ohtlikkust ning rakendab neid kasutades vajalikke ohutusnõudeid;</w:t>
      </w:r>
    </w:p>
    <w:p w:rsidR="0058019C" w:rsidRDefault="00DB600A">
      <w:pPr>
        <w:numPr>
          <w:ilvl w:val="0"/>
          <w:numId w:val="4"/>
        </w:num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ainekavas praktiline töö: neutralisatsioonireaktsiooni uurimine).</w:t>
      </w:r>
    </w:p>
    <w:p w:rsidR="0058019C" w:rsidRDefault="00DB600A">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Põhimõisted: </w:t>
      </w:r>
      <w:r>
        <w:rPr>
          <w:rFonts w:ascii="Times New Roman" w:eastAsia="Times New Roman" w:hAnsi="Times New Roman" w:cs="Times New Roman"/>
          <w:sz w:val="24"/>
          <w:szCs w:val="24"/>
        </w:rPr>
        <w:t xml:space="preserve">hape, alus, neutralisatsioonireaktsioon, indikaator, lahuste </w:t>
      </w:r>
      <w:proofErr w:type="spellStart"/>
      <w:r>
        <w:rPr>
          <w:rFonts w:ascii="Times New Roman" w:eastAsia="Times New Roman" w:hAnsi="Times New Roman" w:cs="Times New Roman"/>
          <w:sz w:val="24"/>
          <w:szCs w:val="24"/>
        </w:rPr>
        <w:t>pH</w:t>
      </w:r>
      <w:proofErr w:type="spellEnd"/>
      <w:r>
        <w:rPr>
          <w:rFonts w:ascii="Times New Roman" w:eastAsia="Times New Roman" w:hAnsi="Times New Roman" w:cs="Times New Roman"/>
          <w:sz w:val="24"/>
          <w:szCs w:val="24"/>
        </w:rPr>
        <w:t>-skaala.</w:t>
      </w:r>
    </w:p>
    <w:p w:rsidR="0058019C" w:rsidRDefault="0058019C">
      <w:pPr>
        <w:spacing w:after="0" w:line="276" w:lineRule="auto"/>
        <w:jc w:val="both"/>
        <w:rPr>
          <w:rFonts w:ascii="Times New Roman" w:eastAsia="Times New Roman" w:hAnsi="Times New Roman" w:cs="Times New Roman"/>
          <w:sz w:val="24"/>
          <w:szCs w:val="24"/>
        </w:rPr>
      </w:pPr>
    </w:p>
    <w:p w:rsidR="0058019C" w:rsidRDefault="0058019C">
      <w:pPr>
        <w:spacing w:after="0" w:line="276" w:lineRule="auto"/>
        <w:jc w:val="both"/>
        <w:rPr>
          <w:rFonts w:ascii="Times New Roman" w:eastAsia="Times New Roman" w:hAnsi="Times New Roman" w:cs="Times New Roman"/>
          <w:b/>
          <w:sz w:val="24"/>
          <w:szCs w:val="24"/>
        </w:rPr>
      </w:pPr>
    </w:p>
    <w:p w:rsidR="0058019C" w:rsidRDefault="00DB600A">
      <w:pPr>
        <w:spacing w:after="0" w:line="276" w:lineRule="auto"/>
        <w:jc w:val="both"/>
        <w:rPr>
          <w:rFonts w:ascii="Times New Roman" w:eastAsia="Times New Roman" w:hAnsi="Times New Roman" w:cs="Times New Roman"/>
          <w:b/>
          <w:sz w:val="24"/>
          <w:szCs w:val="24"/>
        </w:rPr>
      </w:pPr>
      <w:r>
        <w:br w:type="page"/>
      </w:r>
    </w:p>
    <w:p w:rsidR="0058019C" w:rsidRDefault="0077560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TÖÖ EESMÄRK:</w:t>
      </w:r>
      <w:r w:rsidR="00DB600A">
        <w:rPr>
          <w:rFonts w:ascii="Times New Roman" w:eastAsia="Times New Roman" w:hAnsi="Times New Roman" w:cs="Times New Roman"/>
          <w:b/>
          <w:sz w:val="24"/>
          <w:szCs w:val="24"/>
        </w:rPr>
        <w:t xml:space="preserve"> </w:t>
      </w:r>
      <w:r w:rsidR="00DB600A">
        <w:rPr>
          <w:rFonts w:ascii="Times New Roman" w:eastAsia="Times New Roman" w:hAnsi="Times New Roman" w:cs="Times New Roman"/>
          <w:sz w:val="24"/>
          <w:szCs w:val="24"/>
        </w:rPr>
        <w:t xml:space="preserve">Uurida reaktsioonisegu </w:t>
      </w:r>
      <w:proofErr w:type="spellStart"/>
      <w:r w:rsidR="00DB600A">
        <w:rPr>
          <w:rFonts w:ascii="Times New Roman" w:eastAsia="Times New Roman" w:hAnsi="Times New Roman" w:cs="Times New Roman"/>
          <w:sz w:val="24"/>
          <w:szCs w:val="24"/>
        </w:rPr>
        <w:t>pH</w:t>
      </w:r>
      <w:proofErr w:type="spellEnd"/>
      <w:r w:rsidR="00DB600A">
        <w:rPr>
          <w:rFonts w:ascii="Times New Roman" w:eastAsia="Times New Roman" w:hAnsi="Times New Roman" w:cs="Times New Roman"/>
          <w:sz w:val="24"/>
          <w:szCs w:val="24"/>
        </w:rPr>
        <w:t xml:space="preserve"> muutumist neutralisatsioonireaktsiooni kulgemisel.</w:t>
      </w:r>
    </w:p>
    <w:p w:rsidR="0058019C" w:rsidRDefault="0058019C">
      <w:pPr>
        <w:spacing w:after="0" w:line="276" w:lineRule="auto"/>
        <w:jc w:val="both"/>
        <w:rPr>
          <w:rFonts w:ascii="Times New Roman" w:eastAsia="Times New Roman" w:hAnsi="Times New Roman" w:cs="Times New Roman"/>
          <w:b/>
          <w:sz w:val="24"/>
          <w:szCs w:val="24"/>
        </w:rPr>
      </w:pPr>
    </w:p>
    <w:p w:rsidR="0058019C" w:rsidRDefault="00DB600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KATSEVAHENDID: </w:t>
      </w:r>
      <w:r>
        <w:rPr>
          <w:rFonts w:ascii="Times New Roman" w:eastAsia="Times New Roman" w:hAnsi="Times New Roman" w:cs="Times New Roman"/>
          <w:sz w:val="24"/>
          <w:szCs w:val="24"/>
        </w:rPr>
        <w:t xml:space="preserve">soolhappe </w:t>
      </w:r>
      <w:proofErr w:type="spellStart"/>
      <w:r>
        <w:rPr>
          <w:rFonts w:ascii="Times New Roman" w:eastAsia="Times New Roman" w:hAnsi="Times New Roman" w:cs="Times New Roman"/>
          <w:sz w:val="24"/>
          <w:szCs w:val="24"/>
        </w:rPr>
        <w:t>HCl</w:t>
      </w:r>
      <w:proofErr w:type="spellEnd"/>
      <w:r>
        <w:rPr>
          <w:rFonts w:ascii="Times New Roman" w:eastAsia="Times New Roman" w:hAnsi="Times New Roman" w:cs="Times New Roman"/>
          <w:sz w:val="24"/>
          <w:szCs w:val="24"/>
        </w:rPr>
        <w:t xml:space="preserve"> lahus, naatriumhüdroksiidi </w:t>
      </w:r>
      <w:proofErr w:type="spellStart"/>
      <w:r>
        <w:rPr>
          <w:rFonts w:ascii="Times New Roman" w:eastAsia="Times New Roman" w:hAnsi="Times New Roman" w:cs="Times New Roman"/>
          <w:sz w:val="24"/>
          <w:szCs w:val="24"/>
        </w:rPr>
        <w:t>NaOH</w:t>
      </w:r>
      <w:proofErr w:type="spellEnd"/>
      <w:r>
        <w:rPr>
          <w:rFonts w:ascii="Times New Roman" w:eastAsia="Times New Roman" w:hAnsi="Times New Roman" w:cs="Times New Roman"/>
          <w:sz w:val="24"/>
          <w:szCs w:val="24"/>
        </w:rPr>
        <w:t xml:space="preserve"> lahus, destilleeritud vesi, indikaator (nt universaalindikaator), mõõtesilinder, keeduklaas, kooniline kolb, klaaspulk, gradueeritud katseklaas, süstal või </w:t>
      </w:r>
      <w:proofErr w:type="spellStart"/>
      <w:r>
        <w:rPr>
          <w:rFonts w:ascii="Times New Roman" w:eastAsia="Times New Roman" w:hAnsi="Times New Roman" w:cs="Times New Roman"/>
          <w:sz w:val="24"/>
          <w:szCs w:val="24"/>
        </w:rPr>
        <w:t>bürett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w:t>
      </w:r>
      <w:proofErr w:type="spellEnd"/>
      <w:r>
        <w:rPr>
          <w:rFonts w:ascii="Times New Roman" w:eastAsia="Times New Roman" w:hAnsi="Times New Roman" w:cs="Times New Roman"/>
          <w:sz w:val="24"/>
          <w:szCs w:val="24"/>
        </w:rPr>
        <w:t>-meeter ja andmekoguja.</w:t>
      </w:r>
    </w:p>
    <w:p w:rsidR="0058019C" w:rsidRDefault="0058019C">
      <w:pPr>
        <w:spacing w:after="0" w:line="276" w:lineRule="auto"/>
        <w:jc w:val="both"/>
        <w:rPr>
          <w:rFonts w:ascii="Times New Roman" w:eastAsia="Times New Roman" w:hAnsi="Times New Roman" w:cs="Times New Roman"/>
          <w:sz w:val="24"/>
          <w:szCs w:val="24"/>
        </w:rPr>
      </w:pPr>
    </w:p>
    <w:p w:rsidR="0058019C" w:rsidRDefault="00DB600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TÖÖ KÄIK</w:t>
      </w:r>
    </w:p>
    <w:p w:rsidR="0058019C" w:rsidRDefault="00DB600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Esimene osa</w:t>
      </w:r>
    </w:p>
    <w:p w:rsidR="0058019C" w:rsidRDefault="00DB600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Mõõtke mõõtesilindri abil 5</w:t>
      </w:r>
      <w:r>
        <w:rPr>
          <w:rFonts w:ascii="Times New Roman" w:eastAsia="Times New Roman" w:hAnsi="Times New Roman" w:cs="Times New Roman"/>
          <w:sz w:val="24"/>
          <w:szCs w:val="24"/>
          <w:u w:val="single"/>
        </w:rPr>
        <w:t>0</w:t>
      </w:r>
      <w:r>
        <w:rPr>
          <w:rFonts w:ascii="Times New Roman" w:eastAsia="Times New Roman" w:hAnsi="Times New Roman" w:cs="Times New Roman"/>
          <w:sz w:val="24"/>
          <w:szCs w:val="24"/>
        </w:rPr>
        <w:t xml:space="preserve"> ml destilleeritud vett ja valage see keeduklaasi. Mõõtke gradueeritud katseklaasi abil 10,0 ml naatriumhüdroksiidi lahust ning lisage see keeduklaasis olevale veele. Segage segu klaaspulgaga, et ühtlustada lahuse kontsentratsioon. </w:t>
      </w:r>
    </w:p>
    <w:p w:rsidR="0058019C" w:rsidRDefault="00DB600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Määrake valmistatud naatriumhüdroksiidi lahuse </w:t>
      </w:r>
      <w:proofErr w:type="spellStart"/>
      <w:r>
        <w:rPr>
          <w:rFonts w:ascii="Times New Roman" w:eastAsia="Times New Roman" w:hAnsi="Times New Roman" w:cs="Times New Roman"/>
          <w:sz w:val="24"/>
          <w:szCs w:val="24"/>
        </w:rPr>
        <w:t>pH</w:t>
      </w:r>
      <w:proofErr w:type="spellEnd"/>
      <w:r>
        <w:rPr>
          <w:rFonts w:ascii="Times New Roman" w:eastAsia="Times New Roman" w:hAnsi="Times New Roman" w:cs="Times New Roman"/>
          <w:sz w:val="24"/>
          <w:szCs w:val="24"/>
        </w:rPr>
        <w:t xml:space="preserve"> ja kirjutage see andmetabelisse. </w:t>
      </w:r>
    </w:p>
    <w:p w:rsidR="0058019C" w:rsidRDefault="00DB600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Lisage süstlast või </w:t>
      </w:r>
      <w:proofErr w:type="spellStart"/>
      <w:r>
        <w:rPr>
          <w:rFonts w:ascii="Times New Roman" w:eastAsia="Times New Roman" w:hAnsi="Times New Roman" w:cs="Times New Roman"/>
          <w:sz w:val="24"/>
          <w:szCs w:val="24"/>
        </w:rPr>
        <w:t>büretist</w:t>
      </w:r>
      <w:proofErr w:type="spellEnd"/>
      <w:r>
        <w:rPr>
          <w:rFonts w:ascii="Times New Roman" w:eastAsia="Times New Roman" w:hAnsi="Times New Roman" w:cs="Times New Roman"/>
          <w:sz w:val="24"/>
          <w:szCs w:val="24"/>
        </w:rPr>
        <w:t xml:space="preserve"> 1,0 ml kaupa soolhappe lahust. Iga lisatud ml järel määrake </w:t>
      </w:r>
      <w:proofErr w:type="spellStart"/>
      <w:r>
        <w:rPr>
          <w:rFonts w:ascii="Times New Roman" w:eastAsia="Times New Roman" w:hAnsi="Times New Roman" w:cs="Times New Roman"/>
          <w:sz w:val="24"/>
          <w:szCs w:val="24"/>
        </w:rPr>
        <w:t>pH</w:t>
      </w:r>
      <w:proofErr w:type="spellEnd"/>
      <w:r>
        <w:rPr>
          <w:rFonts w:ascii="Times New Roman" w:eastAsia="Times New Roman" w:hAnsi="Times New Roman" w:cs="Times New Roman"/>
          <w:sz w:val="24"/>
          <w:szCs w:val="24"/>
        </w:rPr>
        <w:t xml:space="preserve">-meetriga reaktsioonisegu </w:t>
      </w:r>
      <w:proofErr w:type="spellStart"/>
      <w:r>
        <w:rPr>
          <w:rFonts w:ascii="Times New Roman" w:eastAsia="Times New Roman" w:hAnsi="Times New Roman" w:cs="Times New Roman"/>
          <w:sz w:val="24"/>
          <w:szCs w:val="24"/>
        </w:rPr>
        <w:t>pH</w:t>
      </w:r>
      <w:proofErr w:type="spellEnd"/>
      <w:r>
        <w:rPr>
          <w:rFonts w:ascii="Times New Roman" w:eastAsia="Times New Roman" w:hAnsi="Times New Roman" w:cs="Times New Roman"/>
          <w:sz w:val="24"/>
          <w:szCs w:val="24"/>
        </w:rPr>
        <w:t xml:space="preserve"> ja kandke saadud tulemus tabelisse. </w:t>
      </w:r>
    </w:p>
    <w:tbl>
      <w:tblPr>
        <w:tblStyle w:val="a"/>
        <w:tblW w:w="100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533"/>
        <w:gridCol w:w="620"/>
        <w:gridCol w:w="614"/>
        <w:gridCol w:w="614"/>
        <w:gridCol w:w="614"/>
        <w:gridCol w:w="614"/>
        <w:gridCol w:w="614"/>
        <w:gridCol w:w="614"/>
        <w:gridCol w:w="620"/>
        <w:gridCol w:w="620"/>
        <w:gridCol w:w="740"/>
        <w:gridCol w:w="684"/>
        <w:gridCol w:w="684"/>
      </w:tblGrid>
      <w:tr w:rsidR="0058019C">
        <w:tc>
          <w:tcPr>
            <w:tcW w:w="1816" w:type="dxa"/>
          </w:tcPr>
          <w:p w:rsidR="0058019C" w:rsidRDefault="00DB600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(lisatud </w:t>
            </w:r>
            <w:proofErr w:type="spellStart"/>
            <w:r>
              <w:rPr>
                <w:rFonts w:ascii="Times New Roman" w:eastAsia="Times New Roman" w:hAnsi="Times New Roman" w:cs="Times New Roman"/>
                <w:sz w:val="24"/>
                <w:szCs w:val="24"/>
              </w:rPr>
              <w:t>HCl</w:t>
            </w:r>
            <w:proofErr w:type="spellEnd"/>
            <w:r>
              <w:rPr>
                <w:rFonts w:ascii="Times New Roman" w:eastAsia="Times New Roman" w:hAnsi="Times New Roman" w:cs="Times New Roman"/>
                <w:sz w:val="24"/>
                <w:szCs w:val="24"/>
              </w:rPr>
              <w:t>)</w:t>
            </w:r>
          </w:p>
        </w:tc>
        <w:tc>
          <w:tcPr>
            <w:tcW w:w="533" w:type="dxa"/>
          </w:tcPr>
          <w:p w:rsidR="0058019C" w:rsidRDefault="00DB600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20" w:type="dxa"/>
          </w:tcPr>
          <w:p w:rsidR="0058019C" w:rsidRDefault="00DB600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14" w:type="dxa"/>
          </w:tcPr>
          <w:p w:rsidR="0058019C" w:rsidRDefault="00DB600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14" w:type="dxa"/>
          </w:tcPr>
          <w:p w:rsidR="0058019C" w:rsidRDefault="00DB600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14" w:type="dxa"/>
          </w:tcPr>
          <w:p w:rsidR="0058019C" w:rsidRDefault="00DB600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14" w:type="dxa"/>
          </w:tcPr>
          <w:p w:rsidR="0058019C" w:rsidRDefault="00DB600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14" w:type="dxa"/>
          </w:tcPr>
          <w:p w:rsidR="0058019C" w:rsidRDefault="00DB600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614" w:type="dxa"/>
          </w:tcPr>
          <w:p w:rsidR="0058019C" w:rsidRDefault="00DB600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620" w:type="dxa"/>
          </w:tcPr>
          <w:p w:rsidR="0058019C" w:rsidRDefault="00DB600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20" w:type="dxa"/>
          </w:tcPr>
          <w:p w:rsidR="0058019C" w:rsidRDefault="00DB600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740" w:type="dxa"/>
          </w:tcPr>
          <w:p w:rsidR="0058019C" w:rsidRDefault="00DB600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84" w:type="dxa"/>
          </w:tcPr>
          <w:p w:rsidR="0058019C" w:rsidRDefault="00DB600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684" w:type="dxa"/>
          </w:tcPr>
          <w:p w:rsidR="0058019C" w:rsidRDefault="00DB600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58019C">
        <w:tc>
          <w:tcPr>
            <w:tcW w:w="1816" w:type="dxa"/>
          </w:tcPr>
          <w:p w:rsidR="0058019C" w:rsidRDefault="0058019C">
            <w:pPr>
              <w:spacing w:before="120" w:after="120" w:line="276" w:lineRule="auto"/>
              <w:jc w:val="both"/>
              <w:rPr>
                <w:rFonts w:ascii="Times New Roman" w:eastAsia="Times New Roman" w:hAnsi="Times New Roman" w:cs="Times New Roman"/>
                <w:sz w:val="24"/>
                <w:szCs w:val="24"/>
              </w:rPr>
            </w:pPr>
          </w:p>
        </w:tc>
        <w:tc>
          <w:tcPr>
            <w:tcW w:w="533" w:type="dxa"/>
          </w:tcPr>
          <w:p w:rsidR="0058019C" w:rsidRDefault="0058019C">
            <w:pPr>
              <w:spacing w:before="120" w:after="120" w:line="276" w:lineRule="auto"/>
              <w:jc w:val="both"/>
              <w:rPr>
                <w:rFonts w:ascii="Times New Roman" w:eastAsia="Times New Roman" w:hAnsi="Times New Roman" w:cs="Times New Roman"/>
                <w:sz w:val="24"/>
                <w:szCs w:val="24"/>
              </w:rPr>
            </w:pPr>
          </w:p>
        </w:tc>
        <w:tc>
          <w:tcPr>
            <w:tcW w:w="620" w:type="dxa"/>
          </w:tcPr>
          <w:p w:rsidR="0058019C" w:rsidRDefault="0058019C">
            <w:pPr>
              <w:spacing w:before="120" w:after="120" w:line="276" w:lineRule="auto"/>
              <w:jc w:val="both"/>
              <w:rPr>
                <w:rFonts w:ascii="Times New Roman" w:eastAsia="Times New Roman" w:hAnsi="Times New Roman" w:cs="Times New Roman"/>
                <w:sz w:val="24"/>
                <w:szCs w:val="24"/>
              </w:rPr>
            </w:pPr>
          </w:p>
        </w:tc>
        <w:tc>
          <w:tcPr>
            <w:tcW w:w="614" w:type="dxa"/>
          </w:tcPr>
          <w:p w:rsidR="0058019C" w:rsidRDefault="0058019C">
            <w:pPr>
              <w:spacing w:before="120" w:after="120" w:line="276" w:lineRule="auto"/>
              <w:jc w:val="both"/>
              <w:rPr>
                <w:rFonts w:ascii="Times New Roman" w:eastAsia="Times New Roman" w:hAnsi="Times New Roman" w:cs="Times New Roman"/>
                <w:sz w:val="24"/>
                <w:szCs w:val="24"/>
              </w:rPr>
            </w:pPr>
          </w:p>
        </w:tc>
        <w:tc>
          <w:tcPr>
            <w:tcW w:w="614" w:type="dxa"/>
          </w:tcPr>
          <w:p w:rsidR="0058019C" w:rsidRDefault="0058019C">
            <w:pPr>
              <w:spacing w:before="120" w:after="120" w:line="276" w:lineRule="auto"/>
              <w:jc w:val="both"/>
              <w:rPr>
                <w:rFonts w:ascii="Times New Roman" w:eastAsia="Times New Roman" w:hAnsi="Times New Roman" w:cs="Times New Roman"/>
                <w:sz w:val="24"/>
                <w:szCs w:val="24"/>
              </w:rPr>
            </w:pPr>
          </w:p>
        </w:tc>
        <w:tc>
          <w:tcPr>
            <w:tcW w:w="614" w:type="dxa"/>
          </w:tcPr>
          <w:p w:rsidR="0058019C" w:rsidRDefault="0058019C">
            <w:pPr>
              <w:spacing w:before="120" w:after="120" w:line="276" w:lineRule="auto"/>
              <w:jc w:val="both"/>
              <w:rPr>
                <w:rFonts w:ascii="Times New Roman" w:eastAsia="Times New Roman" w:hAnsi="Times New Roman" w:cs="Times New Roman"/>
                <w:sz w:val="24"/>
                <w:szCs w:val="24"/>
              </w:rPr>
            </w:pPr>
          </w:p>
        </w:tc>
        <w:tc>
          <w:tcPr>
            <w:tcW w:w="614" w:type="dxa"/>
          </w:tcPr>
          <w:p w:rsidR="0058019C" w:rsidRDefault="0058019C">
            <w:pPr>
              <w:spacing w:before="120" w:after="120" w:line="276" w:lineRule="auto"/>
              <w:jc w:val="both"/>
              <w:rPr>
                <w:rFonts w:ascii="Times New Roman" w:eastAsia="Times New Roman" w:hAnsi="Times New Roman" w:cs="Times New Roman"/>
                <w:sz w:val="24"/>
                <w:szCs w:val="24"/>
              </w:rPr>
            </w:pPr>
          </w:p>
        </w:tc>
        <w:tc>
          <w:tcPr>
            <w:tcW w:w="614" w:type="dxa"/>
          </w:tcPr>
          <w:p w:rsidR="0058019C" w:rsidRDefault="0058019C">
            <w:pPr>
              <w:spacing w:before="120" w:after="120" w:line="276" w:lineRule="auto"/>
              <w:jc w:val="both"/>
              <w:rPr>
                <w:rFonts w:ascii="Times New Roman" w:eastAsia="Times New Roman" w:hAnsi="Times New Roman" w:cs="Times New Roman"/>
                <w:sz w:val="24"/>
                <w:szCs w:val="24"/>
              </w:rPr>
            </w:pPr>
          </w:p>
        </w:tc>
        <w:tc>
          <w:tcPr>
            <w:tcW w:w="614" w:type="dxa"/>
          </w:tcPr>
          <w:p w:rsidR="0058019C" w:rsidRDefault="0058019C">
            <w:pPr>
              <w:spacing w:before="120" w:after="120" w:line="276" w:lineRule="auto"/>
              <w:jc w:val="both"/>
              <w:rPr>
                <w:rFonts w:ascii="Times New Roman" w:eastAsia="Times New Roman" w:hAnsi="Times New Roman" w:cs="Times New Roman"/>
                <w:sz w:val="24"/>
                <w:szCs w:val="24"/>
              </w:rPr>
            </w:pPr>
          </w:p>
        </w:tc>
        <w:tc>
          <w:tcPr>
            <w:tcW w:w="620" w:type="dxa"/>
          </w:tcPr>
          <w:p w:rsidR="0058019C" w:rsidRDefault="0058019C">
            <w:pPr>
              <w:spacing w:before="120" w:after="120" w:line="276" w:lineRule="auto"/>
              <w:jc w:val="both"/>
              <w:rPr>
                <w:rFonts w:ascii="Times New Roman" w:eastAsia="Times New Roman" w:hAnsi="Times New Roman" w:cs="Times New Roman"/>
                <w:sz w:val="24"/>
                <w:szCs w:val="24"/>
              </w:rPr>
            </w:pPr>
          </w:p>
        </w:tc>
        <w:tc>
          <w:tcPr>
            <w:tcW w:w="620" w:type="dxa"/>
          </w:tcPr>
          <w:p w:rsidR="0058019C" w:rsidRDefault="0058019C">
            <w:pPr>
              <w:spacing w:before="120" w:after="120" w:line="276" w:lineRule="auto"/>
              <w:jc w:val="both"/>
              <w:rPr>
                <w:rFonts w:ascii="Times New Roman" w:eastAsia="Times New Roman" w:hAnsi="Times New Roman" w:cs="Times New Roman"/>
                <w:sz w:val="24"/>
                <w:szCs w:val="24"/>
              </w:rPr>
            </w:pPr>
          </w:p>
        </w:tc>
        <w:tc>
          <w:tcPr>
            <w:tcW w:w="740" w:type="dxa"/>
          </w:tcPr>
          <w:p w:rsidR="0058019C" w:rsidRDefault="0058019C">
            <w:pPr>
              <w:spacing w:before="120" w:after="120" w:line="276" w:lineRule="auto"/>
              <w:jc w:val="both"/>
              <w:rPr>
                <w:rFonts w:ascii="Times New Roman" w:eastAsia="Times New Roman" w:hAnsi="Times New Roman" w:cs="Times New Roman"/>
                <w:sz w:val="24"/>
                <w:szCs w:val="24"/>
              </w:rPr>
            </w:pPr>
          </w:p>
        </w:tc>
        <w:tc>
          <w:tcPr>
            <w:tcW w:w="684" w:type="dxa"/>
          </w:tcPr>
          <w:p w:rsidR="0058019C" w:rsidRDefault="0058019C">
            <w:pPr>
              <w:spacing w:before="120" w:after="120" w:line="276" w:lineRule="auto"/>
              <w:jc w:val="both"/>
              <w:rPr>
                <w:rFonts w:ascii="Times New Roman" w:eastAsia="Times New Roman" w:hAnsi="Times New Roman" w:cs="Times New Roman"/>
                <w:sz w:val="24"/>
                <w:szCs w:val="24"/>
              </w:rPr>
            </w:pPr>
          </w:p>
        </w:tc>
        <w:tc>
          <w:tcPr>
            <w:tcW w:w="684" w:type="dxa"/>
          </w:tcPr>
          <w:p w:rsidR="0058019C" w:rsidRDefault="0058019C">
            <w:pPr>
              <w:spacing w:before="120" w:after="120" w:line="276" w:lineRule="auto"/>
              <w:jc w:val="both"/>
              <w:rPr>
                <w:rFonts w:ascii="Times New Roman" w:eastAsia="Times New Roman" w:hAnsi="Times New Roman" w:cs="Times New Roman"/>
                <w:sz w:val="24"/>
                <w:szCs w:val="24"/>
              </w:rPr>
            </w:pPr>
          </w:p>
        </w:tc>
      </w:tr>
    </w:tbl>
    <w:p w:rsidR="0058019C" w:rsidRDefault="00DB600A">
      <w:pPr>
        <w:numPr>
          <w:ilvl w:val="1"/>
          <w:numId w:val="1"/>
        </w:numPr>
        <w:pBdr>
          <w:top w:val="nil"/>
          <w:left w:val="nil"/>
          <w:bottom w:val="nil"/>
          <w:right w:val="nil"/>
          <w:between w:val="nil"/>
        </w:pBdr>
        <w:spacing w:before="12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Mis on esialgse lahuse </w:t>
      </w:r>
      <w:proofErr w:type="spellStart"/>
      <w:r>
        <w:rPr>
          <w:rFonts w:ascii="Times New Roman" w:eastAsia="Times New Roman" w:hAnsi="Times New Roman" w:cs="Times New Roman"/>
          <w:color w:val="000000"/>
          <w:sz w:val="24"/>
          <w:szCs w:val="24"/>
        </w:rPr>
        <w:t>pH</w:t>
      </w:r>
      <w:proofErr w:type="spellEnd"/>
      <w:r>
        <w:rPr>
          <w:rFonts w:ascii="Times New Roman" w:eastAsia="Times New Roman" w:hAnsi="Times New Roman" w:cs="Times New Roman"/>
          <w:color w:val="000000"/>
          <w:sz w:val="24"/>
          <w:szCs w:val="24"/>
        </w:rPr>
        <w:t xml:space="preserve"> (kui soolhappe lahust ei ole veel lisatud)? Selgitage.</w:t>
      </w:r>
    </w:p>
    <w:p w:rsidR="0058019C" w:rsidRDefault="00DB600A">
      <w:pPr>
        <w:pBdr>
          <w:top w:val="nil"/>
          <w:left w:val="nil"/>
          <w:bottom w:val="nil"/>
          <w:right w:val="nil"/>
          <w:between w:val="nil"/>
        </w:pBdr>
        <w:spacing w:before="120" w:after="0" w:line="276" w:lineRule="auto"/>
        <w:ind w:left="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w:t>
      </w:r>
    </w:p>
    <w:p w:rsidR="0058019C" w:rsidRDefault="00DB600A">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Kuidas muutub lahuse </w:t>
      </w:r>
      <w:proofErr w:type="spellStart"/>
      <w:r>
        <w:rPr>
          <w:rFonts w:ascii="Times New Roman" w:eastAsia="Times New Roman" w:hAnsi="Times New Roman" w:cs="Times New Roman"/>
          <w:color w:val="000000"/>
          <w:sz w:val="24"/>
          <w:szCs w:val="24"/>
        </w:rPr>
        <w:t>pH</w:t>
      </w:r>
      <w:proofErr w:type="spellEnd"/>
      <w:r>
        <w:rPr>
          <w:rFonts w:ascii="Times New Roman" w:eastAsia="Times New Roman" w:hAnsi="Times New Roman" w:cs="Times New Roman"/>
          <w:color w:val="000000"/>
          <w:sz w:val="24"/>
          <w:szCs w:val="24"/>
        </w:rPr>
        <w:t xml:space="preserve"> läbi viidud keemilise reaktsiooni käigus? Põhjendage.</w:t>
      </w:r>
    </w:p>
    <w:p w:rsidR="0058019C" w:rsidRDefault="00DB600A">
      <w:pPr>
        <w:pBdr>
          <w:top w:val="nil"/>
          <w:left w:val="nil"/>
          <w:bottom w:val="nil"/>
          <w:right w:val="nil"/>
          <w:between w:val="nil"/>
        </w:pBdr>
        <w:spacing w:before="120" w:after="0" w:line="276" w:lineRule="auto"/>
        <w:ind w:left="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w:t>
      </w:r>
    </w:p>
    <w:p w:rsidR="0058019C" w:rsidRDefault="00DB600A">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Koostage kulgenud keemilise reaktsiooni võrrand.</w:t>
      </w:r>
    </w:p>
    <w:p w:rsidR="0058019C" w:rsidRDefault="00DB600A">
      <w:pPr>
        <w:pBdr>
          <w:top w:val="nil"/>
          <w:left w:val="nil"/>
          <w:bottom w:val="nil"/>
          <w:right w:val="nil"/>
          <w:between w:val="nil"/>
        </w:pBdr>
        <w:spacing w:before="120" w:after="0" w:line="276" w:lineRule="auto"/>
        <w:ind w:left="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w:t>
      </w:r>
    </w:p>
    <w:p w:rsidR="0058019C" w:rsidRDefault="0058019C">
      <w:pPr>
        <w:spacing w:after="0" w:line="276" w:lineRule="auto"/>
        <w:jc w:val="both"/>
        <w:rPr>
          <w:rFonts w:ascii="Times New Roman" w:eastAsia="Times New Roman" w:hAnsi="Times New Roman" w:cs="Times New Roman"/>
          <w:sz w:val="24"/>
          <w:szCs w:val="24"/>
        </w:rPr>
      </w:pPr>
    </w:p>
    <w:p w:rsidR="0058019C" w:rsidRDefault="00DB600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Vormistage kogutud andmed arvjoonisena: näidake, kuidas sõltub reaktsioonisegu </w:t>
      </w:r>
      <w:proofErr w:type="spellStart"/>
      <w:r>
        <w:rPr>
          <w:rFonts w:ascii="Times New Roman" w:eastAsia="Times New Roman" w:hAnsi="Times New Roman" w:cs="Times New Roman"/>
          <w:sz w:val="24"/>
          <w:szCs w:val="24"/>
        </w:rPr>
        <w:t>pH</w:t>
      </w:r>
      <w:proofErr w:type="spellEnd"/>
      <w:r>
        <w:rPr>
          <w:rFonts w:ascii="Times New Roman" w:eastAsia="Times New Roman" w:hAnsi="Times New Roman" w:cs="Times New Roman"/>
          <w:sz w:val="24"/>
          <w:szCs w:val="24"/>
        </w:rPr>
        <w:t xml:space="preserve"> lisatud soolhappe ruumalast (ml). (Ühendage andmepunktid sujuva joonega.)</w:t>
      </w:r>
    </w:p>
    <w:p w:rsidR="0058019C" w:rsidRDefault="00DB600A">
      <w:pPr>
        <w:spacing w:after="0" w:line="240" w:lineRule="auto"/>
        <w:jc w:val="center"/>
        <w:rPr>
          <w:rFonts w:ascii="Times New Roman" w:eastAsia="Times New Roman" w:hAnsi="Times New Roman" w:cs="Times New Roman"/>
          <w:sz w:val="24"/>
          <w:szCs w:val="24"/>
        </w:rPr>
      </w:pPr>
      <w:r>
        <w:rPr>
          <w:noProof/>
          <w:lang w:eastAsia="et-EE"/>
        </w:rPr>
        <w:drawing>
          <wp:inline distT="0" distB="0" distL="0" distR="0">
            <wp:extent cx="5372100" cy="3152775"/>
            <wp:effectExtent l="0" t="0" r="0" b="0"/>
            <wp:docPr id="9" name="Diagram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8019C" w:rsidRDefault="0058019C">
      <w:pPr>
        <w:spacing w:after="0" w:line="240" w:lineRule="auto"/>
        <w:jc w:val="both"/>
        <w:rPr>
          <w:rFonts w:ascii="Times New Roman" w:eastAsia="Times New Roman" w:hAnsi="Times New Roman" w:cs="Times New Roman"/>
          <w:sz w:val="24"/>
          <w:szCs w:val="24"/>
        </w:rPr>
      </w:pPr>
    </w:p>
    <w:p w:rsidR="00775601" w:rsidRDefault="00775601">
      <w:pPr>
        <w:spacing w:after="0" w:line="240" w:lineRule="auto"/>
        <w:jc w:val="both"/>
        <w:rPr>
          <w:rFonts w:ascii="Times New Roman" w:eastAsia="Times New Roman" w:hAnsi="Times New Roman" w:cs="Times New Roman"/>
          <w:sz w:val="24"/>
          <w:szCs w:val="24"/>
        </w:rPr>
      </w:pPr>
    </w:p>
    <w:p w:rsidR="0058019C" w:rsidRDefault="00DB600A">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Tuvastage koostatud diagrammi abil, mitu ml soolhappe lahust kulus naatriumhüdroksiidi neutraliseerimiseks. Märkige vastav punkt diagrammil.</w:t>
      </w:r>
    </w:p>
    <w:p w:rsidR="0058019C" w:rsidRDefault="00DB600A">
      <w:pPr>
        <w:spacing w:before="120" w:after="0" w:line="240"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Naatriumhüdroksiidi neutraliseerimiseks kulus _______ soolhappe lahust.</w:t>
      </w:r>
    </w:p>
    <w:p w:rsidR="0058019C" w:rsidRDefault="0058019C">
      <w:pPr>
        <w:spacing w:after="0" w:line="240" w:lineRule="auto"/>
        <w:jc w:val="both"/>
        <w:rPr>
          <w:rFonts w:ascii="Times New Roman" w:eastAsia="Times New Roman" w:hAnsi="Times New Roman" w:cs="Times New Roman"/>
          <w:sz w:val="24"/>
          <w:szCs w:val="24"/>
        </w:rPr>
      </w:pPr>
    </w:p>
    <w:p w:rsidR="0058019C" w:rsidRDefault="00DB600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Teine osa</w:t>
      </w:r>
    </w:p>
    <w:p w:rsidR="0058019C" w:rsidRDefault="00DB600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Mõõtke mõõtesilindri abil 5</w:t>
      </w:r>
      <w:r>
        <w:rPr>
          <w:rFonts w:ascii="Times New Roman" w:eastAsia="Times New Roman" w:hAnsi="Times New Roman" w:cs="Times New Roman"/>
          <w:sz w:val="24"/>
          <w:szCs w:val="24"/>
          <w:u w:val="single"/>
        </w:rPr>
        <w:t>0</w:t>
      </w:r>
      <w:r>
        <w:rPr>
          <w:rFonts w:ascii="Times New Roman" w:eastAsia="Times New Roman" w:hAnsi="Times New Roman" w:cs="Times New Roman"/>
          <w:sz w:val="24"/>
          <w:szCs w:val="24"/>
        </w:rPr>
        <w:t xml:space="preserve"> ml destilleeritud vett ja valage see koonilisse kolbi. Mõõtke gradueeritud katseklaasi abil 10,0 ml naatriumhüdroksiidi lahust ning lisage see kolvis olevale veele. Loksutage segu, et ühtlustada lahuse kontsentratsioon. Lisage segule 5–7 tilka indikaatori (nt universaalindikaatori) lahust. </w:t>
      </w:r>
    </w:p>
    <w:p w:rsidR="0058019C" w:rsidRDefault="00DB600A">
      <w:pPr>
        <w:numPr>
          <w:ilvl w:val="1"/>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 värvi on saadud lahus? Selgitage.</w:t>
      </w:r>
    </w:p>
    <w:p w:rsidR="0058019C" w:rsidRDefault="00DB600A">
      <w:pPr>
        <w:pBdr>
          <w:top w:val="nil"/>
          <w:left w:val="nil"/>
          <w:bottom w:val="nil"/>
          <w:right w:val="nil"/>
          <w:between w:val="nil"/>
        </w:pBdr>
        <w:spacing w:before="240" w:after="0" w:line="276"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rsidR="0058019C" w:rsidRDefault="00DB600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Mõõtke teise süstlasse 10,0 ml soolhappe lahust. Lisage seda tilkade haaval kolbi valmistatud naatriumhüdroksiidi lahusele. Süstla asemel võite kasutada ka </w:t>
      </w:r>
      <w:proofErr w:type="spellStart"/>
      <w:r>
        <w:rPr>
          <w:rFonts w:ascii="Times New Roman" w:eastAsia="Times New Roman" w:hAnsi="Times New Roman" w:cs="Times New Roman"/>
          <w:sz w:val="24"/>
          <w:szCs w:val="24"/>
        </w:rPr>
        <w:t>büretti</w:t>
      </w:r>
      <w:proofErr w:type="spellEnd"/>
      <w:r>
        <w:rPr>
          <w:rFonts w:ascii="Times New Roman" w:eastAsia="Times New Roman" w:hAnsi="Times New Roman" w:cs="Times New Roman"/>
          <w:sz w:val="24"/>
          <w:szCs w:val="24"/>
        </w:rPr>
        <w:t>.</w:t>
      </w:r>
    </w:p>
    <w:p w:rsidR="0058019C" w:rsidRDefault="00DB600A">
      <w:pPr>
        <w:numPr>
          <w:ilvl w:val="1"/>
          <w:numId w:val="2"/>
        </w:numPr>
        <w:pBdr>
          <w:top w:val="nil"/>
          <w:left w:val="nil"/>
          <w:bottom w:val="nil"/>
          <w:right w:val="nil"/>
          <w:between w:val="nil"/>
        </w:pBdr>
        <w:spacing w:before="12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Mille järgi on võimalik kindlaks teha, et naatriumhüdroksiidi lahus on neutraliseeritud?</w:t>
      </w:r>
    </w:p>
    <w:p w:rsidR="0058019C" w:rsidRDefault="00DB600A">
      <w:pPr>
        <w:pBdr>
          <w:top w:val="nil"/>
          <w:left w:val="nil"/>
          <w:bottom w:val="nil"/>
          <w:right w:val="nil"/>
          <w:between w:val="nil"/>
        </w:pBdr>
        <w:spacing w:before="240" w:after="0" w:line="276" w:lineRule="auto"/>
        <w:ind w:left="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w:t>
      </w:r>
    </w:p>
    <w:p w:rsidR="0058019C" w:rsidRDefault="00DB600A">
      <w:pPr>
        <w:numPr>
          <w:ilvl w:val="1"/>
          <w:numId w:val="2"/>
        </w:numPr>
        <w:pBdr>
          <w:top w:val="nil"/>
          <w:left w:val="nil"/>
          <w:bottom w:val="nil"/>
          <w:right w:val="nil"/>
          <w:between w:val="nil"/>
        </w:pBdr>
        <w:spacing w:before="24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Mitu ml soolhappe lahust kulub naatriumhüdroksiidi lahuse neutraliseerimiseks? ______________</w:t>
      </w:r>
    </w:p>
    <w:p w:rsidR="0058019C" w:rsidRDefault="00DB600A">
      <w:pPr>
        <w:numPr>
          <w:ilvl w:val="1"/>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 juhtub reaktsiooniseguga soolhappe edasisel lisamisel? Põhjendage.</w:t>
      </w:r>
    </w:p>
    <w:p w:rsidR="0058019C" w:rsidRDefault="00DB600A">
      <w:pPr>
        <w:pBdr>
          <w:top w:val="nil"/>
          <w:left w:val="nil"/>
          <w:bottom w:val="nil"/>
          <w:right w:val="nil"/>
          <w:between w:val="nil"/>
        </w:pBdr>
        <w:spacing w:before="240" w:after="0" w:line="276"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w:t>
      </w:r>
    </w:p>
    <w:p w:rsidR="0058019C" w:rsidRDefault="0058019C">
      <w:pPr>
        <w:spacing w:after="0" w:line="240" w:lineRule="auto"/>
        <w:jc w:val="both"/>
        <w:rPr>
          <w:rFonts w:ascii="Times New Roman" w:eastAsia="Times New Roman" w:hAnsi="Times New Roman" w:cs="Times New Roman"/>
          <w:sz w:val="24"/>
          <w:szCs w:val="24"/>
        </w:rPr>
      </w:pPr>
    </w:p>
    <w:p w:rsidR="0058019C" w:rsidRDefault="00DB600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KOKKUVÕTE</w:t>
      </w:r>
    </w:p>
    <w:p w:rsidR="0058019C" w:rsidRDefault="00DB600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Valige sulgudest õige vastus ja tõmmake sellele joon alla. </w:t>
      </w:r>
    </w:p>
    <w:p w:rsidR="0058019C" w:rsidRDefault="00DB600A">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Naatriumhüdroksiidi lahus on (aluseline / neutraalne / happeline). Selle </w:t>
      </w:r>
      <w:proofErr w:type="spellStart"/>
      <w:r>
        <w:rPr>
          <w:rFonts w:ascii="Times New Roman" w:eastAsia="Times New Roman" w:hAnsi="Times New Roman" w:cs="Times New Roman"/>
          <w:color w:val="000000"/>
          <w:sz w:val="24"/>
          <w:szCs w:val="24"/>
        </w:rPr>
        <w:t>pH</w:t>
      </w:r>
      <w:proofErr w:type="spellEnd"/>
      <w:r>
        <w:rPr>
          <w:rFonts w:ascii="Times New Roman" w:eastAsia="Times New Roman" w:hAnsi="Times New Roman" w:cs="Times New Roman"/>
          <w:color w:val="000000"/>
          <w:sz w:val="24"/>
          <w:szCs w:val="24"/>
        </w:rPr>
        <w:t xml:space="preserve"> ( &lt; 7 / = 7 / &gt; 7 ). </w:t>
      </w:r>
    </w:p>
    <w:p w:rsidR="0058019C" w:rsidRDefault="00DB600A">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Naatriumhüdroksiidi lahusele soolhappe lahuse lisamisel (kulgeb / ei kulge) keemiline reaktsioon. Selle reaktsiooni käigus (kasvab / kahaneb) lahuse </w:t>
      </w:r>
      <w:proofErr w:type="spellStart"/>
      <w:r>
        <w:rPr>
          <w:rFonts w:ascii="Times New Roman" w:eastAsia="Times New Roman" w:hAnsi="Times New Roman" w:cs="Times New Roman"/>
          <w:color w:val="000000"/>
          <w:sz w:val="24"/>
          <w:szCs w:val="24"/>
        </w:rPr>
        <w:t>pH</w:t>
      </w:r>
      <w:proofErr w:type="spellEnd"/>
      <w:r>
        <w:rPr>
          <w:rFonts w:ascii="Times New Roman" w:eastAsia="Times New Roman" w:hAnsi="Times New Roman" w:cs="Times New Roman"/>
          <w:color w:val="000000"/>
          <w:sz w:val="24"/>
          <w:szCs w:val="24"/>
        </w:rPr>
        <w:t xml:space="preserve">, sest lahus hakkab muutuma (happelisemaks / aluselisemaks) ehk vesinikioonide sisaldus lahuses (väheneb / suureneb). </w:t>
      </w:r>
    </w:p>
    <w:p w:rsidR="0058019C" w:rsidRDefault="00DB600A">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 xml:space="preserve">Kui kogu lahuses sisaldunud naatriumhüdroksiid on ära reageerinud, siis on saadud lahus (aluseline / happeline / neutraalne), selle lahuse </w:t>
      </w:r>
      <w:proofErr w:type="spellStart"/>
      <w:r>
        <w:rPr>
          <w:rFonts w:ascii="Times New Roman" w:eastAsia="Times New Roman" w:hAnsi="Times New Roman" w:cs="Times New Roman"/>
          <w:color w:val="000000"/>
          <w:sz w:val="24"/>
          <w:szCs w:val="24"/>
        </w:rPr>
        <w:t>pH</w:t>
      </w:r>
      <w:proofErr w:type="spellEnd"/>
      <w:r>
        <w:rPr>
          <w:rFonts w:ascii="Times New Roman" w:eastAsia="Times New Roman" w:hAnsi="Times New Roman" w:cs="Times New Roman"/>
          <w:color w:val="000000"/>
          <w:sz w:val="24"/>
          <w:szCs w:val="24"/>
        </w:rPr>
        <w:t xml:space="preserve"> ( &lt; 7 / = 7 / &gt; 7 ). Kui lisada sellele lahusele veel soolhapet, siis (kahaneb </w:t>
      </w:r>
      <w:proofErr w:type="spellStart"/>
      <w:r>
        <w:rPr>
          <w:rFonts w:ascii="Times New Roman" w:eastAsia="Times New Roman" w:hAnsi="Times New Roman" w:cs="Times New Roman"/>
          <w:color w:val="000000"/>
          <w:sz w:val="24"/>
          <w:szCs w:val="24"/>
        </w:rPr>
        <w:t>pH</w:t>
      </w:r>
      <w:proofErr w:type="spellEnd"/>
      <w:r>
        <w:rPr>
          <w:rFonts w:ascii="Times New Roman" w:eastAsia="Times New Roman" w:hAnsi="Times New Roman" w:cs="Times New Roman"/>
          <w:color w:val="000000"/>
          <w:sz w:val="24"/>
          <w:szCs w:val="24"/>
        </w:rPr>
        <w:t xml:space="preserve"> veelgi / jääb </w:t>
      </w:r>
      <w:proofErr w:type="spellStart"/>
      <w:r>
        <w:rPr>
          <w:rFonts w:ascii="Times New Roman" w:eastAsia="Times New Roman" w:hAnsi="Times New Roman" w:cs="Times New Roman"/>
          <w:color w:val="000000"/>
          <w:sz w:val="24"/>
          <w:szCs w:val="24"/>
        </w:rPr>
        <w:t>pH</w:t>
      </w:r>
      <w:proofErr w:type="spellEnd"/>
      <w:r>
        <w:rPr>
          <w:rFonts w:ascii="Times New Roman" w:eastAsia="Times New Roman" w:hAnsi="Times New Roman" w:cs="Times New Roman"/>
          <w:color w:val="000000"/>
          <w:sz w:val="24"/>
          <w:szCs w:val="24"/>
        </w:rPr>
        <w:t xml:space="preserve"> samaks / hakkab </w:t>
      </w:r>
      <w:proofErr w:type="spellStart"/>
      <w:r>
        <w:rPr>
          <w:rFonts w:ascii="Times New Roman" w:eastAsia="Times New Roman" w:hAnsi="Times New Roman" w:cs="Times New Roman"/>
          <w:color w:val="000000"/>
          <w:sz w:val="24"/>
          <w:szCs w:val="24"/>
        </w:rPr>
        <w:t>pH</w:t>
      </w:r>
      <w:proofErr w:type="spellEnd"/>
      <w:r>
        <w:rPr>
          <w:rFonts w:ascii="Times New Roman" w:eastAsia="Times New Roman" w:hAnsi="Times New Roman" w:cs="Times New Roman"/>
          <w:color w:val="000000"/>
          <w:sz w:val="24"/>
          <w:szCs w:val="24"/>
        </w:rPr>
        <w:t xml:space="preserve"> uuesti kasvama).</w:t>
      </w:r>
    </w:p>
    <w:p w:rsidR="0058019C" w:rsidRDefault="0058019C">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p>
    <w:p w:rsidR="0058019C" w:rsidRDefault="00DB600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Võrrelge esimese ja teises osas saadud tulemusi. Kas need tulemused langevad kokku? Arutlege ja selgitage.</w:t>
      </w:r>
    </w:p>
    <w:p w:rsidR="0058019C" w:rsidRDefault="00DB600A">
      <w:pPr>
        <w:pBdr>
          <w:top w:val="nil"/>
          <w:left w:val="nil"/>
          <w:bottom w:val="nil"/>
          <w:right w:val="nil"/>
          <w:between w:val="nil"/>
        </w:pBdr>
        <w:spacing w:before="240" w:after="0" w:line="276"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w:t>
      </w:r>
    </w:p>
    <w:p w:rsidR="0058019C" w:rsidRDefault="00DB600A">
      <w:pPr>
        <w:pBdr>
          <w:top w:val="nil"/>
          <w:left w:val="nil"/>
          <w:bottom w:val="nil"/>
          <w:right w:val="nil"/>
          <w:between w:val="nil"/>
        </w:pBdr>
        <w:spacing w:before="240" w:after="0" w:line="276"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w:t>
      </w:r>
    </w:p>
    <w:p w:rsidR="0058019C" w:rsidRDefault="00DB600A">
      <w:pPr>
        <w:pBdr>
          <w:top w:val="nil"/>
          <w:left w:val="nil"/>
          <w:bottom w:val="nil"/>
          <w:right w:val="nil"/>
          <w:between w:val="nil"/>
        </w:pBdr>
        <w:spacing w:before="240" w:after="0" w:line="276"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w:t>
      </w:r>
    </w:p>
    <w:p w:rsidR="0058019C" w:rsidRDefault="0058019C">
      <w:pPr>
        <w:spacing w:after="0"/>
        <w:rPr>
          <w:rFonts w:ascii="Times New Roman" w:eastAsia="Times New Roman" w:hAnsi="Times New Roman" w:cs="Times New Roman"/>
          <w:b/>
          <w:sz w:val="28"/>
          <w:szCs w:val="28"/>
        </w:rPr>
      </w:pPr>
    </w:p>
    <w:sectPr w:rsidR="0058019C">
      <w:footerReference w:type="first" r:id="rId9"/>
      <w:pgSz w:w="11906" w:h="16838"/>
      <w:pgMar w:top="1134" w:right="964" w:bottom="1134" w:left="96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202" w:rsidRDefault="00430202">
      <w:pPr>
        <w:spacing w:after="0" w:line="240" w:lineRule="auto"/>
      </w:pPr>
      <w:r>
        <w:separator/>
      </w:r>
    </w:p>
  </w:endnote>
  <w:endnote w:type="continuationSeparator" w:id="0">
    <w:p w:rsidR="00430202" w:rsidRDefault="0043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9C" w:rsidRDefault="00DB600A">
    <w:pPr>
      <w:spacing w:after="0" w:line="240" w:lineRule="auto"/>
      <w:rPr>
        <w:rFonts w:ascii="Arial" w:eastAsia="Arial" w:hAnsi="Arial" w:cs="Arial"/>
        <w:color w:val="000000"/>
        <w:sz w:val="16"/>
        <w:szCs w:val="16"/>
        <w:highlight w:val="white"/>
      </w:rPr>
    </w:pPr>
    <w:r>
      <w:rPr>
        <w:rFonts w:ascii="Arial" w:eastAsia="Arial" w:hAnsi="Arial" w:cs="Arial"/>
        <w:color w:val="000000"/>
        <w:sz w:val="16"/>
        <w:szCs w:val="16"/>
        <w:highlight w:val="white"/>
      </w:rPr>
      <w:t xml:space="preserve">Juhend on Euroopa Sotsiaalfondist </w:t>
    </w:r>
    <w:proofErr w:type="spellStart"/>
    <w:r>
      <w:rPr>
        <w:rFonts w:ascii="Arial" w:eastAsia="Arial" w:hAnsi="Arial" w:cs="Arial"/>
        <w:color w:val="000000"/>
        <w:sz w:val="16"/>
        <w:szCs w:val="16"/>
        <w:highlight w:val="white"/>
      </w:rPr>
      <w:t>Innove</w:t>
    </w:r>
    <w:proofErr w:type="spellEnd"/>
    <w:r>
      <w:rPr>
        <w:rFonts w:ascii="Arial" w:eastAsia="Arial" w:hAnsi="Arial" w:cs="Arial"/>
        <w:color w:val="000000"/>
        <w:sz w:val="16"/>
        <w:szCs w:val="16"/>
        <w:highlight w:val="white"/>
      </w:rPr>
      <w:t xml:space="preserve"> vahendusel toetust saanud projekti </w:t>
    </w:r>
    <w:r>
      <w:rPr>
        <w:noProof/>
        <w:lang w:eastAsia="et-EE"/>
      </w:rPr>
      <w:drawing>
        <wp:anchor distT="0" distB="0" distL="114300" distR="114300" simplePos="0" relativeHeight="251658240" behindDoc="0" locked="0" layoutInCell="1" hidden="0" allowOverlap="1">
          <wp:simplePos x="0" y="0"/>
          <wp:positionH relativeFrom="column">
            <wp:posOffset>4270375</wp:posOffset>
          </wp:positionH>
          <wp:positionV relativeFrom="paragraph">
            <wp:posOffset>-3174</wp:posOffset>
          </wp:positionV>
          <wp:extent cx="1202690" cy="69405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02690" cy="694055"/>
                  </a:xfrm>
                  <a:prstGeom prst="rect">
                    <a:avLst/>
                  </a:prstGeom>
                  <a:ln/>
                </pic:spPr>
              </pic:pic>
            </a:graphicData>
          </a:graphic>
        </wp:anchor>
      </w:drawing>
    </w:r>
  </w:p>
  <w:p w:rsidR="0058019C" w:rsidRDefault="00DB600A">
    <w:pPr>
      <w:spacing w:after="0" w:line="240" w:lineRule="auto"/>
      <w:rPr>
        <w:rFonts w:ascii="Arial" w:eastAsia="Arial" w:hAnsi="Arial" w:cs="Arial"/>
        <w:color w:val="000000"/>
        <w:sz w:val="16"/>
        <w:szCs w:val="16"/>
        <w:highlight w:val="white"/>
      </w:rPr>
    </w:pPr>
    <w:r>
      <w:rPr>
        <w:rFonts w:ascii="Arial" w:eastAsia="Arial" w:hAnsi="Arial" w:cs="Arial"/>
        <w:color w:val="000000"/>
        <w:sz w:val="16"/>
        <w:szCs w:val="16"/>
        <w:highlight w:val="white"/>
      </w:rPr>
      <w:t xml:space="preserve">"Tallinna Reaalkoolis, Jakob Westholmi </w:t>
    </w:r>
    <w:proofErr w:type="spellStart"/>
    <w:r>
      <w:rPr>
        <w:rFonts w:ascii="Arial" w:eastAsia="Arial" w:hAnsi="Arial" w:cs="Arial"/>
        <w:color w:val="000000"/>
        <w:sz w:val="16"/>
        <w:szCs w:val="16"/>
        <w:highlight w:val="white"/>
      </w:rPr>
      <w:t>Gümnaasiumis</w:t>
    </w:r>
    <w:proofErr w:type="spellEnd"/>
    <w:r>
      <w:rPr>
        <w:rFonts w:ascii="Arial" w:eastAsia="Arial" w:hAnsi="Arial" w:cs="Arial"/>
        <w:color w:val="000000"/>
        <w:sz w:val="16"/>
        <w:szCs w:val="16"/>
        <w:highlight w:val="white"/>
      </w:rPr>
      <w:t xml:space="preserve">, Tallinna </w:t>
    </w:r>
    <w:proofErr w:type="spellStart"/>
    <w:r>
      <w:rPr>
        <w:rFonts w:ascii="Arial" w:eastAsia="Arial" w:hAnsi="Arial" w:cs="Arial"/>
        <w:color w:val="000000"/>
        <w:sz w:val="16"/>
        <w:szCs w:val="16"/>
        <w:highlight w:val="white"/>
      </w:rPr>
      <w:t>Südalinna</w:t>
    </w:r>
    <w:proofErr w:type="spellEnd"/>
    <w:r>
      <w:rPr>
        <w:rFonts w:ascii="Arial" w:eastAsia="Arial" w:hAnsi="Arial" w:cs="Arial"/>
        <w:color w:val="000000"/>
        <w:sz w:val="16"/>
        <w:szCs w:val="16"/>
        <w:highlight w:val="white"/>
      </w:rPr>
      <w:t xml:space="preserve"> Koolis </w:t>
    </w:r>
  </w:p>
  <w:p w:rsidR="0058019C" w:rsidRDefault="00DB600A">
    <w:pPr>
      <w:spacing w:after="0" w:line="240" w:lineRule="auto"/>
      <w:rPr>
        <w:rFonts w:ascii="Arial" w:eastAsia="Arial" w:hAnsi="Arial" w:cs="Arial"/>
        <w:color w:val="000000"/>
        <w:sz w:val="16"/>
        <w:szCs w:val="16"/>
        <w:highlight w:val="white"/>
      </w:rPr>
    </w:pPr>
    <w:r>
      <w:rPr>
        <w:rFonts w:ascii="Arial" w:eastAsia="Arial" w:hAnsi="Arial" w:cs="Arial"/>
        <w:color w:val="000000"/>
        <w:sz w:val="16"/>
        <w:szCs w:val="16"/>
        <w:highlight w:val="white"/>
      </w:rPr>
      <w:t xml:space="preserve">ja Tallinna Kesklinna </w:t>
    </w:r>
    <w:proofErr w:type="spellStart"/>
    <w:r>
      <w:rPr>
        <w:rFonts w:ascii="Arial" w:eastAsia="Arial" w:hAnsi="Arial" w:cs="Arial"/>
        <w:color w:val="000000"/>
        <w:sz w:val="16"/>
        <w:szCs w:val="16"/>
        <w:highlight w:val="white"/>
      </w:rPr>
      <w:t>Põhikoolis</w:t>
    </w:r>
    <w:proofErr w:type="spellEnd"/>
    <w:r>
      <w:rPr>
        <w:rFonts w:ascii="Arial" w:eastAsia="Arial" w:hAnsi="Arial" w:cs="Arial"/>
        <w:color w:val="000000"/>
        <w:sz w:val="16"/>
        <w:szCs w:val="16"/>
        <w:highlight w:val="white"/>
      </w:rPr>
      <w:t xml:space="preserve"> keemia, </w:t>
    </w:r>
    <w:proofErr w:type="spellStart"/>
    <w:r>
      <w:rPr>
        <w:rFonts w:ascii="Arial" w:eastAsia="Arial" w:hAnsi="Arial" w:cs="Arial"/>
        <w:color w:val="000000"/>
        <w:sz w:val="16"/>
        <w:szCs w:val="16"/>
        <w:highlight w:val="white"/>
      </w:rPr>
      <w:t>füüsika</w:t>
    </w:r>
    <w:proofErr w:type="spellEnd"/>
    <w:r>
      <w:rPr>
        <w:rFonts w:ascii="Arial" w:eastAsia="Arial" w:hAnsi="Arial" w:cs="Arial"/>
        <w:color w:val="000000"/>
        <w:sz w:val="16"/>
        <w:szCs w:val="16"/>
        <w:highlight w:val="white"/>
      </w:rPr>
      <w:t xml:space="preserve"> ja bioloogia praktikumide </w:t>
    </w:r>
    <w:proofErr w:type="spellStart"/>
    <w:r>
      <w:rPr>
        <w:rFonts w:ascii="Arial" w:eastAsia="Arial" w:hAnsi="Arial" w:cs="Arial"/>
        <w:color w:val="000000"/>
        <w:sz w:val="16"/>
        <w:szCs w:val="16"/>
        <w:highlight w:val="white"/>
      </w:rPr>
      <w:t>läbi</w:t>
    </w:r>
    <w:proofErr w:type="spellEnd"/>
    <w:r>
      <w:rPr>
        <w:rFonts w:ascii="Arial" w:eastAsia="Arial" w:hAnsi="Arial" w:cs="Arial"/>
        <w:color w:val="000000"/>
        <w:sz w:val="16"/>
        <w:szCs w:val="16"/>
        <w:highlight w:val="white"/>
      </w:rPr>
      <w:t xml:space="preserve"> viimiseks </w:t>
    </w:r>
  </w:p>
  <w:p w:rsidR="0058019C" w:rsidRDefault="00DB600A">
    <w:pPr>
      <w:spacing w:after="0" w:line="240" w:lineRule="auto"/>
      <w:rPr>
        <w:rFonts w:ascii="Arial" w:eastAsia="Arial" w:hAnsi="Arial" w:cs="Arial"/>
        <w:color w:val="000000"/>
        <w:sz w:val="16"/>
        <w:szCs w:val="16"/>
        <w:highlight w:val="white"/>
      </w:rPr>
    </w:pPr>
    <w:r>
      <w:rPr>
        <w:rFonts w:ascii="Arial" w:eastAsia="Arial" w:hAnsi="Arial" w:cs="Arial"/>
        <w:color w:val="000000"/>
        <w:sz w:val="16"/>
        <w:szCs w:val="16"/>
        <w:highlight w:val="white"/>
      </w:rPr>
      <w:t xml:space="preserve">uuendusliku </w:t>
    </w:r>
    <w:proofErr w:type="spellStart"/>
    <w:r>
      <w:rPr>
        <w:rFonts w:ascii="Arial" w:eastAsia="Arial" w:hAnsi="Arial" w:cs="Arial"/>
        <w:color w:val="000000"/>
        <w:sz w:val="16"/>
        <w:szCs w:val="16"/>
        <w:highlight w:val="white"/>
      </w:rPr>
      <w:t>õppevara</w:t>
    </w:r>
    <w:proofErr w:type="spellEnd"/>
    <w:r>
      <w:rPr>
        <w:rFonts w:ascii="Arial" w:eastAsia="Arial" w:hAnsi="Arial" w:cs="Arial"/>
        <w:color w:val="000000"/>
        <w:sz w:val="16"/>
        <w:szCs w:val="16"/>
        <w:highlight w:val="white"/>
      </w:rPr>
      <w:t xml:space="preserve"> soetamine ja kasutusele </w:t>
    </w:r>
    <w:proofErr w:type="spellStart"/>
    <w:r>
      <w:rPr>
        <w:rFonts w:ascii="Arial" w:eastAsia="Arial" w:hAnsi="Arial" w:cs="Arial"/>
        <w:color w:val="000000"/>
        <w:sz w:val="16"/>
        <w:szCs w:val="16"/>
        <w:highlight w:val="white"/>
      </w:rPr>
      <w:t>võtmine</w:t>
    </w:r>
    <w:proofErr w:type="spellEnd"/>
    <w:r>
      <w:rPr>
        <w:rFonts w:ascii="Arial" w:eastAsia="Arial" w:hAnsi="Arial" w:cs="Arial"/>
        <w:color w:val="000000"/>
        <w:sz w:val="16"/>
        <w:szCs w:val="16"/>
        <w:highlight w:val="white"/>
      </w:rPr>
      <w:t>" väljund.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202" w:rsidRDefault="00430202">
      <w:pPr>
        <w:spacing w:after="0" w:line="240" w:lineRule="auto"/>
      </w:pPr>
      <w:r>
        <w:separator/>
      </w:r>
    </w:p>
  </w:footnote>
  <w:footnote w:type="continuationSeparator" w:id="0">
    <w:p w:rsidR="00430202" w:rsidRDefault="00430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C5DFF"/>
    <w:multiLevelType w:val="multilevel"/>
    <w:tmpl w:val="BA5E1A52"/>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AA02F11"/>
    <w:multiLevelType w:val="multilevel"/>
    <w:tmpl w:val="A6CA2A60"/>
    <w:lvl w:ilvl="0">
      <w:start w:val="1"/>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7ABC4D0D"/>
    <w:multiLevelType w:val="multilevel"/>
    <w:tmpl w:val="423696A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E705C17"/>
    <w:multiLevelType w:val="multilevel"/>
    <w:tmpl w:val="33DE4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9C"/>
    <w:rsid w:val="0039668B"/>
    <w:rsid w:val="00430202"/>
    <w:rsid w:val="0058019C"/>
    <w:rsid w:val="00775601"/>
    <w:rsid w:val="00DB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C3899"/>
  <w15:docId w15:val="{3E20F1F2-81D8-4026-B0B7-BE2B60AE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Loendilik">
    <w:name w:val="List Paragraph"/>
    <w:basedOn w:val="Normaallaad"/>
    <w:uiPriority w:val="34"/>
    <w:qFormat/>
    <w:rsid w:val="00FE1D85"/>
    <w:pPr>
      <w:ind w:left="720"/>
      <w:contextualSpacing/>
    </w:pPr>
  </w:style>
  <w:style w:type="paragraph" w:styleId="Pis">
    <w:name w:val="header"/>
    <w:basedOn w:val="Normaallaad"/>
    <w:link w:val="PisMrk"/>
    <w:uiPriority w:val="99"/>
    <w:unhideWhenUsed/>
    <w:rsid w:val="003563A7"/>
    <w:pPr>
      <w:tabs>
        <w:tab w:val="center" w:pos="4513"/>
        <w:tab w:val="right" w:pos="9026"/>
      </w:tabs>
      <w:spacing w:after="0" w:line="240" w:lineRule="auto"/>
    </w:pPr>
  </w:style>
  <w:style w:type="character" w:customStyle="1" w:styleId="PisMrk">
    <w:name w:val="Päis Märk"/>
    <w:basedOn w:val="Liguvaikefont"/>
    <w:link w:val="Pis"/>
    <w:uiPriority w:val="99"/>
    <w:rsid w:val="003563A7"/>
  </w:style>
  <w:style w:type="paragraph" w:styleId="Jalus">
    <w:name w:val="footer"/>
    <w:basedOn w:val="Normaallaad"/>
    <w:link w:val="JalusMrk"/>
    <w:uiPriority w:val="99"/>
    <w:unhideWhenUsed/>
    <w:rsid w:val="003563A7"/>
    <w:pPr>
      <w:tabs>
        <w:tab w:val="center" w:pos="4513"/>
        <w:tab w:val="right" w:pos="9026"/>
      </w:tabs>
      <w:spacing w:after="0" w:line="240" w:lineRule="auto"/>
    </w:pPr>
  </w:style>
  <w:style w:type="character" w:customStyle="1" w:styleId="JalusMrk">
    <w:name w:val="Jalus Märk"/>
    <w:basedOn w:val="Liguvaikefont"/>
    <w:link w:val="Jalus"/>
    <w:uiPriority w:val="99"/>
    <w:rsid w:val="003563A7"/>
  </w:style>
  <w:style w:type="character" w:styleId="Kohatitetekst">
    <w:name w:val="Placeholder Text"/>
    <w:basedOn w:val="Liguvaikefont"/>
    <w:uiPriority w:val="99"/>
    <w:semiHidden/>
    <w:rsid w:val="00AE73BB"/>
    <w:rPr>
      <w:color w:val="808080"/>
    </w:rPr>
  </w:style>
  <w:style w:type="paragraph" w:styleId="Jutumullitekst">
    <w:name w:val="Balloon Text"/>
    <w:basedOn w:val="Normaallaad"/>
    <w:link w:val="JutumullitekstMrk"/>
    <w:uiPriority w:val="99"/>
    <w:semiHidden/>
    <w:unhideWhenUsed/>
    <w:rsid w:val="00724384"/>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724384"/>
    <w:rPr>
      <w:rFonts w:ascii="Tahoma" w:hAnsi="Tahoma" w:cs="Tahoma"/>
      <w:sz w:val="16"/>
      <w:szCs w:val="16"/>
    </w:rPr>
  </w:style>
  <w:style w:type="table" w:styleId="Kontuurtabel">
    <w:name w:val="Table Grid"/>
    <w:basedOn w:val="Normaaltabel"/>
    <w:uiPriority w:val="59"/>
    <w:rsid w:val="00926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oendita1">
    <w:name w:val="Loendita1"/>
    <w:next w:val="Loendita"/>
    <w:uiPriority w:val="99"/>
    <w:semiHidden/>
    <w:unhideWhenUsed/>
    <w:rsid w:val="000D32F4"/>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tin\Desktop\KEprak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noFill/>
              <a:round/>
            </a:ln>
            <a:effectLst/>
          </c:spPr>
          <c:marker>
            <c:symbol val="none"/>
          </c:marker>
          <c:xVal>
            <c:numRef>
              <c:f>[KEpraks.xlsx]Leht1!$A$1:$A$13</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[KEpraks.xlsx]Leht1!$B$1:$B$13</c:f>
              <c:numCache>
                <c:formatCode>General</c:formatCode>
                <c:ptCount val="13"/>
                <c:pt idx="0">
                  <c:v>12.04</c:v>
                </c:pt>
                <c:pt idx="1">
                  <c:v>11.95</c:v>
                </c:pt>
                <c:pt idx="2">
                  <c:v>11.84</c:v>
                </c:pt>
                <c:pt idx="3">
                  <c:v>11.75</c:v>
                </c:pt>
                <c:pt idx="4">
                  <c:v>11.65</c:v>
                </c:pt>
                <c:pt idx="5">
                  <c:v>11.5</c:v>
                </c:pt>
                <c:pt idx="6">
                  <c:v>11.25</c:v>
                </c:pt>
                <c:pt idx="7">
                  <c:v>10.72</c:v>
                </c:pt>
                <c:pt idx="8">
                  <c:v>3.93</c:v>
                </c:pt>
                <c:pt idx="9">
                  <c:v>3.24</c:v>
                </c:pt>
                <c:pt idx="10">
                  <c:v>3.03</c:v>
                </c:pt>
                <c:pt idx="11">
                  <c:v>2.88</c:v>
                </c:pt>
                <c:pt idx="12">
                  <c:v>2.78</c:v>
                </c:pt>
              </c:numCache>
            </c:numRef>
          </c:yVal>
          <c:smooth val="1"/>
          <c:extLst>
            <c:ext xmlns:c16="http://schemas.microsoft.com/office/drawing/2014/chart" uri="{C3380CC4-5D6E-409C-BE32-E72D297353CC}">
              <c16:uniqueId val="{00000000-8A50-4A1E-B2BC-BC0006B526FE}"/>
            </c:ext>
          </c:extLst>
        </c:ser>
        <c:dLbls>
          <c:showLegendKey val="0"/>
          <c:showVal val="0"/>
          <c:showCatName val="0"/>
          <c:showSerName val="0"/>
          <c:showPercent val="0"/>
          <c:showBubbleSize val="0"/>
        </c:dLbls>
        <c:axId val="1682330287"/>
        <c:axId val="1682331119"/>
      </c:scatterChart>
      <c:valAx>
        <c:axId val="1682330287"/>
        <c:scaling>
          <c:orientation val="minMax"/>
          <c:max val="12"/>
        </c:scaling>
        <c:delete val="1"/>
        <c:axPos val="b"/>
        <c:majorGridlines>
          <c:spPr>
            <a:ln w="9525" cap="flat" cmpd="sng" algn="ctr">
              <a:solidFill>
                <a:schemeClr val="bg1">
                  <a:lumMod val="50000"/>
                </a:schemeClr>
              </a:solidFill>
              <a:round/>
            </a:ln>
            <a:effectLst/>
          </c:spPr>
        </c:majorGridlines>
        <c:minorGridlines>
          <c:spPr>
            <a:ln w="9525" cap="flat" cmpd="sng" algn="ctr">
              <a:solidFill>
                <a:schemeClr val="bg1">
                  <a:lumMod val="75000"/>
                </a:schemeClr>
              </a:solidFill>
              <a:round/>
            </a:ln>
            <a:effectLst/>
          </c:spPr>
        </c:minorGridlines>
        <c:numFmt formatCode="General" sourceLinked="1"/>
        <c:majorTickMark val="none"/>
        <c:minorTickMark val="none"/>
        <c:tickLblPos val="nextTo"/>
        <c:crossAx val="1682331119"/>
        <c:crosses val="autoZero"/>
        <c:crossBetween val="midCat"/>
        <c:majorUnit val="1"/>
      </c:valAx>
      <c:valAx>
        <c:axId val="1682331119"/>
        <c:scaling>
          <c:orientation val="minMax"/>
        </c:scaling>
        <c:delete val="1"/>
        <c:axPos val="l"/>
        <c:majorGridlines>
          <c:spPr>
            <a:ln w="9525" cap="flat" cmpd="sng" algn="ctr">
              <a:solidFill>
                <a:schemeClr val="bg1">
                  <a:lumMod val="50000"/>
                </a:schemeClr>
              </a:solidFill>
              <a:round/>
            </a:ln>
            <a:effectLst/>
          </c:spPr>
        </c:majorGridlines>
        <c:minorGridlines>
          <c:spPr>
            <a:ln w="9525" cap="flat" cmpd="sng" algn="ctr">
              <a:solidFill>
                <a:schemeClr val="bg1">
                  <a:lumMod val="75000"/>
                </a:schemeClr>
              </a:solidFill>
              <a:round/>
            </a:ln>
            <a:effectLst/>
          </c:spPr>
        </c:minorGridlines>
        <c:numFmt formatCode="General" sourceLinked="1"/>
        <c:majorTickMark val="none"/>
        <c:minorTickMark val="none"/>
        <c:tickLblPos val="nextTo"/>
        <c:crossAx val="1682330287"/>
        <c:crosses val="autoZero"/>
        <c:crossBetween val="midCat"/>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jewUTyNDzCzyU4BiTSON620bfA==">AMUW2mU6xMnq8bQK4gy7Qolm27e4lQbVMr5jrp8nXF7aI5ea3pBki6bt0KU3Rk2MJ3AZR9RwwU97jDmNswgk0uksZpR9sXFbF/ZzxMSh2yiscIKdO0HpGiB//8Xo/xyYFTKe6kzg2tS8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4113</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Õpetaja</cp:lastModifiedBy>
  <cp:revision>3</cp:revision>
  <dcterms:created xsi:type="dcterms:W3CDTF">2017-10-10T08:24:00Z</dcterms:created>
  <dcterms:modified xsi:type="dcterms:W3CDTF">2021-09-18T13:19:00Z</dcterms:modified>
</cp:coreProperties>
</file>