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09" w:rsidRDefault="00426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Neutralisatsioonireaktsioonis toimuvate pH-muutuste uurimine</w:t>
      </w:r>
    </w:p>
    <w:bookmarkEnd w:id="0"/>
    <w:p w:rsidR="005F0309" w:rsidRDefault="005F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309" w:rsidRDefault="00426BE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Vanuseaste: </w:t>
      </w:r>
      <w:r>
        <w:rPr>
          <w:rFonts w:ascii="Times New Roman" w:eastAsia="Times New Roman" w:hAnsi="Times New Roman" w:cs="Times New Roman"/>
          <w:sz w:val="24"/>
          <w:szCs w:val="24"/>
        </w:rPr>
        <w:t>8. klass</w:t>
      </w:r>
    </w:p>
    <w:p w:rsidR="005F0309" w:rsidRDefault="00426BE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Materjali tüüp: </w:t>
      </w:r>
      <w:r>
        <w:rPr>
          <w:rFonts w:ascii="Times New Roman" w:eastAsia="Times New Roman" w:hAnsi="Times New Roman" w:cs="Times New Roman"/>
          <w:sz w:val="24"/>
          <w:szCs w:val="24"/>
        </w:rPr>
        <w:t>õpilase tööleht (</w:t>
      </w:r>
      <w:r w:rsidR="00970404">
        <w:rPr>
          <w:rFonts w:ascii="Times New Roman" w:eastAsia="Times New Roman" w:hAnsi="Times New Roman" w:cs="Times New Roman"/>
          <w:sz w:val="24"/>
          <w:szCs w:val="24"/>
        </w:rPr>
        <w:t xml:space="preserve">täiendav </w:t>
      </w:r>
      <w:r>
        <w:rPr>
          <w:rFonts w:ascii="Times New Roman" w:eastAsia="Times New Roman" w:hAnsi="Times New Roman" w:cs="Times New Roman"/>
          <w:sz w:val="24"/>
          <w:szCs w:val="24"/>
        </w:rPr>
        <w:t>variant)</w:t>
      </w:r>
    </w:p>
    <w:p w:rsidR="005F0309" w:rsidRDefault="00426BE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Eesmärk: </w:t>
      </w:r>
      <w:r>
        <w:rPr>
          <w:rFonts w:ascii="Times New Roman" w:eastAsia="Times New Roman" w:hAnsi="Times New Roman" w:cs="Times New Roman"/>
          <w:sz w:val="24"/>
          <w:szCs w:val="24"/>
        </w:rPr>
        <w:t>uurida reaktsioonisegu pH muutumist neutralisatsioonireaktsiooni kulgemisel</w:t>
      </w:r>
    </w:p>
    <w:p w:rsidR="005F0309" w:rsidRDefault="00426BE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Seos õpitulemustega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F0309" w:rsidRDefault="00426BE1">
      <w:pPr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mõistab hapete ja aluste vastandlikkust (võimet teineteist neutraliseerida);</w:t>
      </w:r>
    </w:p>
    <w:p w:rsidR="005F0309" w:rsidRDefault="00426BE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hindab lahuse happelisust, aluselisust või neutraalsust lahuse pH väärtuse järgi;</w:t>
      </w:r>
    </w:p>
    <w:p w:rsidR="005F0309" w:rsidRDefault="00426BE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järgib leeliste ja tugevate hapetega töötades ohutusnõudeid;</w:t>
      </w:r>
    </w:p>
    <w:p w:rsidR="005F0309" w:rsidRDefault="00426BE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koostab ning tasakaalustab lihtsamate hapete ja aluste vaheliste reaktsioonide võrrandeid, korraldab neid reaktsioone ohutult;</w:t>
      </w:r>
    </w:p>
    <w:p w:rsidR="005F0309" w:rsidRDefault="00426BE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rakendab teadusuuringute põhimõtteid;</w:t>
      </w:r>
    </w:p>
    <w:p w:rsidR="005F0309" w:rsidRDefault="00426BE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plaanib ja teeb ohutult lihtsamaid keemiakatseid, mõistab igapäevaelus kasutatavate kemikaalide ja materjalide ohtlikkust ning rakendab neid kasutades vajalikke ohutusnõudeid;</w:t>
      </w:r>
    </w:p>
    <w:p w:rsidR="005F0309" w:rsidRDefault="00426BE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ainekavas praktiline töö: neutralisatsioonireaktsiooni uurimine).</w:t>
      </w:r>
    </w:p>
    <w:p w:rsidR="005F0309" w:rsidRDefault="00426BE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Põhimõisted: </w:t>
      </w:r>
      <w:r>
        <w:rPr>
          <w:rFonts w:ascii="Times New Roman" w:eastAsia="Times New Roman" w:hAnsi="Times New Roman" w:cs="Times New Roman"/>
          <w:sz w:val="24"/>
          <w:szCs w:val="24"/>
        </w:rPr>
        <w:t>hape, alus, neutralisatsioonireaktsioon, indikaator, lahuste pH-skaala.</w:t>
      </w:r>
    </w:p>
    <w:p w:rsidR="005F0309" w:rsidRDefault="005F03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309" w:rsidRDefault="00426B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F0309" w:rsidRDefault="00426B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TÖÖ EESMÄRK. </w:t>
      </w:r>
      <w:r>
        <w:rPr>
          <w:rFonts w:ascii="Times New Roman" w:eastAsia="Times New Roman" w:hAnsi="Times New Roman" w:cs="Times New Roman"/>
          <w:sz w:val="24"/>
          <w:szCs w:val="24"/>
        </w:rPr>
        <w:t>Uurida reaktsioonisegu pH muutumist neutralisatsioonireaktsiooni kulgemisel.</w:t>
      </w:r>
    </w:p>
    <w:p w:rsidR="005F0309" w:rsidRDefault="005F03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309" w:rsidRDefault="00426B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KATSEVAHENDID: </w:t>
      </w:r>
      <w:r>
        <w:rPr>
          <w:rFonts w:ascii="Times New Roman" w:eastAsia="Times New Roman" w:hAnsi="Times New Roman" w:cs="Times New Roman"/>
          <w:sz w:val="24"/>
          <w:szCs w:val="24"/>
        </w:rPr>
        <w:t>soolhappe HCl lahus, naatriumhüdroksiidi NaOH lahus, destilleeritud vesi, mõõtesilinder, keeduklaas, klaaspulk, gradueeritud katseklaas, süstal või bürett, pH-meeter ja andmekoguja.</w:t>
      </w:r>
    </w:p>
    <w:p w:rsidR="005F0309" w:rsidRDefault="005F0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309" w:rsidRDefault="00426B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TÖÖ KÄIK</w:t>
      </w:r>
    </w:p>
    <w:p w:rsidR="005F0309" w:rsidRDefault="0042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Mõõtke mõõtesilindri abil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 destilleeritud vett ja valage see 100…150 ml keeduklaasi. </w:t>
      </w:r>
    </w:p>
    <w:p w:rsidR="005F0309" w:rsidRDefault="0042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Mõõtke gradueeritud katseklaasi abil 10,0 ml naatriumhüdroksiidi lahust ning lisage see keeduklaasis olevale veele. </w:t>
      </w:r>
    </w:p>
    <w:p w:rsidR="005F0309" w:rsidRDefault="0042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Segage saadud segu klaaspulgaga, et ühtlustada lahuse kontsentratsioon. </w:t>
      </w:r>
    </w:p>
    <w:p w:rsidR="005F0309" w:rsidRDefault="005F03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309" w:rsidRDefault="00426BE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Andmekoguja seadistamine ja sellega töötamine</w:t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Loputage pH-sensori ots destilleeritud veega, raputage seda õrnalt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ja ühendage see andmekogujaga. Esmalt valige sobiv mõõtmisrežiim (mode): „mõõtmine lisasensoritega“.</w:t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Märkige seadistamisel päisesse: „happe lahuse ruumala“ või „V(HCl lahus), mõõtühikud „ml“.</w:t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Nüüd olete valmis alustama andmete kogumisega, vajutage: </w:t>
      </w:r>
      <w:r>
        <w:rPr>
          <w:noProof/>
          <w:color w:val="000000"/>
          <w:lang w:eastAsia="et-EE"/>
        </w:rPr>
        <w:drawing>
          <wp:inline distT="0" distB="0" distL="0" distR="0">
            <wp:extent cx="470401" cy="249719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401" cy="249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Asetage pH-sensori ots keeduklaasis olevasse naatriumhüdroksiidi lahjendatud lahusesse ja liigutage seda aeglaselt. Näidu stabiliseerumise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enam-vähem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järel võtke proovi iseloomustav näit: </w:t>
      </w:r>
      <w:r>
        <w:rPr>
          <w:noProof/>
          <w:color w:val="000000"/>
          <w:lang w:eastAsia="et-EE"/>
        </w:rPr>
        <w:drawing>
          <wp:inline distT="0" distB="0" distL="0" distR="0">
            <wp:extent cx="498912" cy="241898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912" cy="241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Seejärel sisestage arvväärtus „0“ – happe lahust ei ole veel lisatud. </w:t>
      </w:r>
    </w:p>
    <w:p w:rsidR="005F0309" w:rsidRDefault="00426BE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Paralleelselt võib juba täita ka allpool asuvat andmetabelit, aga tegelikult saab selle ka pärast katseseeria lõpetamist andmekogujast kätte.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Võtke sensori ots uuritud lahusest välja. Lisage süstlast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või büretist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 ml soolhappe lahust. Segage reaktsioonisegu klaaspulgaga.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Antud juhul võib muidugi põhimõtteliselt ka ettevaatlikult pH-meetri abil segada.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Asetage sensori ots taas reaktsioonisegusse ja liigutage seda aeglaselt. Näidu stabiliseerumisel vajutage </w:t>
      </w:r>
      <w:r>
        <w:rPr>
          <w:noProof/>
          <w:color w:val="000000"/>
          <w:lang w:eastAsia="et-EE"/>
        </w:rPr>
        <w:drawing>
          <wp:inline distT="0" distB="0" distL="0" distR="0">
            <wp:extent cx="498912" cy="24189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912" cy="241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ning kirjutage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kokku lisatud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soolhappe lahuse ruumala milliliitrites. Nüüd on see „1“. </w:t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Korrake punkti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lisades soolhappe lahust iga kord 1,0 ml kaupa ning märkides iga kord </w:t>
      </w:r>
      <w:r>
        <w:rPr>
          <w:noProof/>
          <w:color w:val="000000"/>
          <w:lang w:eastAsia="et-EE"/>
        </w:rPr>
        <w:drawing>
          <wp:inline distT="0" distB="0" distL="0" distR="0">
            <wp:extent cx="498912" cy="241898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912" cy="241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vajutamise järel selleks hetkeks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kokku lisatud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soolhappe lahuse ruumala: vastavalt „2“, „3“, „4“ jne.</w:t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 olete kokku lisanud 12,0 ml soolhappe lahust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või 15,0 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siis vajutage katseseeria lõpetamiseks: </w:t>
      </w:r>
      <w:r>
        <w:rPr>
          <w:noProof/>
          <w:color w:val="000000"/>
          <w:lang w:eastAsia="et-EE"/>
        </w:rPr>
        <w:drawing>
          <wp:inline distT="0" distB="0" distL="0" distR="0">
            <wp:extent cx="431018" cy="24163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018" cy="241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5F0309" w:rsidRDefault="0042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Loputage sensori ots destilleeritud veega seda lahti ühendamata.</w:t>
      </w:r>
    </w:p>
    <w:p w:rsidR="005F0309" w:rsidRDefault="00426B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104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533"/>
        <w:gridCol w:w="620"/>
        <w:gridCol w:w="614"/>
        <w:gridCol w:w="614"/>
        <w:gridCol w:w="614"/>
        <w:gridCol w:w="614"/>
        <w:gridCol w:w="614"/>
        <w:gridCol w:w="614"/>
        <w:gridCol w:w="620"/>
        <w:gridCol w:w="620"/>
        <w:gridCol w:w="740"/>
        <w:gridCol w:w="684"/>
        <w:gridCol w:w="684"/>
      </w:tblGrid>
      <w:tr w:rsidR="005F0309">
        <w:tc>
          <w:tcPr>
            <w:tcW w:w="2250" w:type="dxa"/>
          </w:tcPr>
          <w:p w:rsidR="005F0309" w:rsidRDefault="00426B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(HCl lahus) [ml]</w:t>
            </w:r>
          </w:p>
        </w:tc>
        <w:tc>
          <w:tcPr>
            <w:tcW w:w="533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1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1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1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1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1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1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20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20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40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84" w:type="dxa"/>
          </w:tcPr>
          <w:p w:rsidR="005F0309" w:rsidRDefault="00426B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F0309">
        <w:tc>
          <w:tcPr>
            <w:tcW w:w="2250" w:type="dxa"/>
          </w:tcPr>
          <w:p w:rsidR="005F0309" w:rsidRDefault="00426BE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533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F0309" w:rsidRDefault="005F030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309" w:rsidRDefault="005F03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309" w:rsidRDefault="0042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 on esialgse lahuse pH (kui soolhappe lahust ei ole veel lisatud)? Selgitage.</w:t>
      </w:r>
    </w:p>
    <w:p w:rsidR="005F0309" w:rsidRDefault="00426BE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F0309" w:rsidRDefault="0042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Kuidas muutub lahuse pH läbi viidud keemilise reaktsiooni käigus? Põhjendage.</w:t>
      </w:r>
    </w:p>
    <w:p w:rsidR="005F0309" w:rsidRDefault="00426BE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F0309" w:rsidRDefault="0042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Koostage kulgenud keemilise reaktsiooni võrrand.</w:t>
      </w:r>
    </w:p>
    <w:p w:rsidR="005F0309" w:rsidRDefault="00426BE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</w:t>
      </w:r>
    </w:p>
    <w:p w:rsidR="005F0309" w:rsidRDefault="005F0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309" w:rsidRDefault="00426B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Vormistage kogutud andmed arvjoonisena: näidake, kuidas sõltub reaktsioonisegu pH lisatud soolhappe ruumalast (ml).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Ühendage andmepunktid sujuva joonega.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Võite arvjoonise ka andmekoguja ekraanil oleva eeskujul skitseerida.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0309" w:rsidRDefault="0042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>
            <wp:extent cx="5372100" cy="3152775"/>
            <wp:effectExtent l="0" t="0" r="0" b="0"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0309" w:rsidRDefault="005F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309" w:rsidRDefault="0042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Tuvastage koostatud diagrammi abil, mitu ml soolhappe lahust kulus naatriumhüdroksiidi neutraliseerimiseks. Märkige vastav punkt diagrammil.</w:t>
      </w:r>
    </w:p>
    <w:p w:rsidR="005F0309" w:rsidRDefault="005F0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309" w:rsidRDefault="00426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Naatriumhüdroksiidi neutraliseerimiseks kulus _______ soolhappe lahust.</w:t>
      </w:r>
    </w:p>
    <w:p w:rsidR="005F0309" w:rsidRDefault="005F0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0309" w:rsidRDefault="0042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KOKKUVÕTE</w:t>
      </w:r>
    </w:p>
    <w:p w:rsidR="005F0309" w:rsidRDefault="004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Valige sulgudest õige vastus ja tõmmake sellele joon alla. </w:t>
      </w:r>
    </w:p>
    <w:p w:rsidR="005F0309" w:rsidRDefault="005F030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309" w:rsidRDefault="00426BE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Naatriumhüdroksiidi lahus on (aluseline / neutraalne / happeline). Selle pH ( &lt; 7 / = 7 / &gt; 7 ). </w:t>
      </w:r>
    </w:p>
    <w:p w:rsidR="005F0309" w:rsidRDefault="00426B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Naatriumhüdroksiidi lahusele soolhappe lahuse lisamisel (kulgeb / ei kulge) keemiline reaktsioon. Selle reaktsiooni käigus (kasvab / kahaneb) lahuse pH, sest lahus hakkab muutuma (happelisemaks / aluselisemaks) ehk vesinikioonide sisaldus lahuses (väheneb / suureneb). </w:t>
      </w:r>
    </w:p>
    <w:p w:rsidR="005F0309" w:rsidRDefault="00426B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 kogu lahuses sisaldunud naatriumhüdroksiid on ära reageerinud, siis on saadud lahus (aluseline / happeline / neutraalne), selle lahuse pH ( &lt; 7 / = 7 / &gt; 7 ). Kui lisada sellele lahusele veel soolhapet, siis (kahaneb pH veelgi / jääb pH samaks / hakkab pH uuesti kasvama).</w:t>
      </w:r>
    </w:p>
    <w:sectPr w:rsidR="005F0309">
      <w:headerReference w:type="first" r:id="rId12"/>
      <w:footerReference w:type="first" r:id="rId13"/>
      <w:pgSz w:w="11906" w:h="16838"/>
      <w:pgMar w:top="1134" w:right="964" w:bottom="1134" w:left="96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2D" w:rsidRDefault="007F752D">
      <w:pPr>
        <w:spacing w:after="0" w:line="240" w:lineRule="auto"/>
      </w:pPr>
      <w:r>
        <w:separator/>
      </w:r>
    </w:p>
  </w:endnote>
  <w:endnote w:type="continuationSeparator" w:id="0">
    <w:p w:rsidR="007F752D" w:rsidRDefault="007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09" w:rsidRDefault="00426BE1">
    <w:pPr>
      <w:spacing w:after="0" w:line="240" w:lineRule="auto"/>
      <w:rPr>
        <w:rFonts w:ascii="Arial" w:eastAsia="Arial" w:hAnsi="Arial" w:cs="Arial"/>
        <w:color w:val="000000"/>
        <w:sz w:val="16"/>
        <w:szCs w:val="16"/>
        <w:highlight w:val="white"/>
      </w:rPr>
    </w:pPr>
    <w:r>
      <w:rPr>
        <w:rFonts w:ascii="Arial" w:eastAsia="Arial" w:hAnsi="Arial" w:cs="Arial"/>
        <w:color w:val="000000"/>
        <w:sz w:val="16"/>
        <w:szCs w:val="16"/>
        <w:highlight w:val="white"/>
      </w:rPr>
      <w:t xml:space="preserve">Juhend on Euroopa Sotsiaalfondist Innove vahendusel toetust saanud projekti </w:t>
    </w:r>
    <w:r>
      <w:rPr>
        <w:noProof/>
        <w:lang w:eastAsia="et-E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4270375</wp:posOffset>
          </wp:positionH>
          <wp:positionV relativeFrom="paragraph">
            <wp:posOffset>-3174</wp:posOffset>
          </wp:positionV>
          <wp:extent cx="1202690" cy="694055"/>
          <wp:effectExtent l="0" t="0" r="0" b="0"/>
          <wp:wrapNone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2690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0309" w:rsidRDefault="00426BE1">
    <w:pPr>
      <w:spacing w:after="0" w:line="240" w:lineRule="auto"/>
      <w:rPr>
        <w:rFonts w:ascii="Arial" w:eastAsia="Arial" w:hAnsi="Arial" w:cs="Arial"/>
        <w:color w:val="000000"/>
        <w:sz w:val="16"/>
        <w:szCs w:val="16"/>
        <w:highlight w:val="white"/>
      </w:rPr>
    </w:pPr>
    <w:r>
      <w:rPr>
        <w:rFonts w:ascii="Arial" w:eastAsia="Arial" w:hAnsi="Arial" w:cs="Arial"/>
        <w:color w:val="000000"/>
        <w:sz w:val="16"/>
        <w:szCs w:val="16"/>
        <w:highlight w:val="white"/>
      </w:rPr>
      <w:t xml:space="preserve">"Tallinna Reaalkoolis, Jakob Westholmi Gümnaasiumis, Tallinna Südalinna Koolis </w:t>
    </w:r>
  </w:p>
  <w:p w:rsidR="005F0309" w:rsidRDefault="00426BE1">
    <w:pPr>
      <w:spacing w:after="0" w:line="240" w:lineRule="auto"/>
      <w:rPr>
        <w:rFonts w:ascii="Arial" w:eastAsia="Arial" w:hAnsi="Arial" w:cs="Arial"/>
        <w:color w:val="000000"/>
        <w:sz w:val="16"/>
        <w:szCs w:val="16"/>
        <w:highlight w:val="white"/>
      </w:rPr>
    </w:pPr>
    <w:r>
      <w:rPr>
        <w:rFonts w:ascii="Arial" w:eastAsia="Arial" w:hAnsi="Arial" w:cs="Arial"/>
        <w:color w:val="000000"/>
        <w:sz w:val="16"/>
        <w:szCs w:val="16"/>
        <w:highlight w:val="white"/>
      </w:rPr>
      <w:t xml:space="preserve">ja Tallinna Kesklinna Põhikoolis keemia, füüsika ja bioloogia praktikumide läbi viimiseks </w:t>
    </w:r>
  </w:p>
  <w:p w:rsidR="005F0309" w:rsidRDefault="00426BE1">
    <w:pPr>
      <w:spacing w:after="0" w:line="240" w:lineRule="auto"/>
      <w:rPr>
        <w:rFonts w:ascii="Arial" w:eastAsia="Arial" w:hAnsi="Arial" w:cs="Arial"/>
        <w:color w:val="000000"/>
        <w:sz w:val="16"/>
        <w:szCs w:val="16"/>
        <w:highlight w:val="white"/>
      </w:rPr>
    </w:pPr>
    <w:r>
      <w:rPr>
        <w:rFonts w:ascii="Arial" w:eastAsia="Arial" w:hAnsi="Arial" w:cs="Arial"/>
        <w:color w:val="000000"/>
        <w:sz w:val="16"/>
        <w:szCs w:val="16"/>
        <w:highlight w:val="white"/>
      </w:rPr>
      <w:t>uuendusliku õppevara soetamine ja kasutusele võtmine" väljund.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2D" w:rsidRDefault="007F752D">
      <w:pPr>
        <w:spacing w:after="0" w:line="240" w:lineRule="auto"/>
      </w:pPr>
      <w:r>
        <w:separator/>
      </w:r>
    </w:p>
  </w:footnote>
  <w:footnote w:type="continuationSeparator" w:id="0">
    <w:p w:rsidR="007F752D" w:rsidRDefault="007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9C" w:rsidRDefault="00724C9C" w:rsidP="00724C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0628"/>
    <w:multiLevelType w:val="multilevel"/>
    <w:tmpl w:val="996E81FA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05395"/>
    <w:multiLevelType w:val="multilevel"/>
    <w:tmpl w:val="961E6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15D81"/>
    <w:multiLevelType w:val="multilevel"/>
    <w:tmpl w:val="D6ECA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654CE5"/>
    <w:multiLevelType w:val="multilevel"/>
    <w:tmpl w:val="63589D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9"/>
    <w:rsid w:val="00051432"/>
    <w:rsid w:val="00426BE1"/>
    <w:rsid w:val="005F0309"/>
    <w:rsid w:val="00724C9C"/>
    <w:rsid w:val="007F752D"/>
    <w:rsid w:val="008F68CB"/>
    <w:rsid w:val="009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9B66"/>
  <w15:docId w15:val="{615CD635-57E8-4B1C-90AE-33EC2D23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Loendilik">
    <w:name w:val="List Paragraph"/>
    <w:basedOn w:val="Normaallaad"/>
    <w:uiPriority w:val="34"/>
    <w:qFormat/>
    <w:rsid w:val="00FE1D8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35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563A7"/>
  </w:style>
  <w:style w:type="paragraph" w:styleId="Jalus">
    <w:name w:val="footer"/>
    <w:basedOn w:val="Normaallaad"/>
    <w:link w:val="JalusMrk"/>
    <w:uiPriority w:val="99"/>
    <w:unhideWhenUsed/>
    <w:rsid w:val="0035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563A7"/>
  </w:style>
  <w:style w:type="character" w:styleId="Kohatitetekst">
    <w:name w:val="Placeholder Text"/>
    <w:basedOn w:val="Liguvaikefont"/>
    <w:uiPriority w:val="99"/>
    <w:semiHidden/>
    <w:rsid w:val="00AE73BB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2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2438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92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oendita1">
    <w:name w:val="Loendita1"/>
    <w:next w:val="Loendita"/>
    <w:uiPriority w:val="99"/>
    <w:semiHidden/>
    <w:unhideWhenUsed/>
    <w:rsid w:val="000D32F4"/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in\Desktop\KEprak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[KEpraks.xlsx]Leht1!$A$1:$A$13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[KEpraks.xlsx]Leht1!$B$1:$B$13</c:f>
              <c:numCache>
                <c:formatCode>General</c:formatCode>
                <c:ptCount val="13"/>
                <c:pt idx="0">
                  <c:v>12.04</c:v>
                </c:pt>
                <c:pt idx="1">
                  <c:v>11.95</c:v>
                </c:pt>
                <c:pt idx="2">
                  <c:v>11.84</c:v>
                </c:pt>
                <c:pt idx="3">
                  <c:v>11.75</c:v>
                </c:pt>
                <c:pt idx="4">
                  <c:v>11.65</c:v>
                </c:pt>
                <c:pt idx="5">
                  <c:v>11.5</c:v>
                </c:pt>
                <c:pt idx="6">
                  <c:v>11.25</c:v>
                </c:pt>
                <c:pt idx="7">
                  <c:v>10.72</c:v>
                </c:pt>
                <c:pt idx="8">
                  <c:v>3.93</c:v>
                </c:pt>
                <c:pt idx="9">
                  <c:v>3.24</c:v>
                </c:pt>
                <c:pt idx="10">
                  <c:v>3.03</c:v>
                </c:pt>
                <c:pt idx="11">
                  <c:v>2.88</c:v>
                </c:pt>
                <c:pt idx="12">
                  <c:v>2.78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A50-4A1E-B2BC-BC0006B52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2330287"/>
        <c:axId val="1682331119"/>
      </c:scatterChart>
      <c:valAx>
        <c:axId val="1682330287"/>
        <c:scaling>
          <c:orientation val="minMax"/>
          <c:max val="12"/>
        </c:scaling>
        <c:delete val="1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crossAx val="1682331119"/>
        <c:crosses val="autoZero"/>
        <c:crossBetween val="midCat"/>
        <c:majorUnit val="1"/>
      </c:valAx>
      <c:valAx>
        <c:axId val="168233111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crossAx val="1682330287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hVgc2KiXGJ0eqCzxnearzpRhQ==">AMUW2mVWfhH6hyF16U7Xu9xsBVaN0b7m68V5jULOodq6gEel6lQZb67F1bwTF5lLzEN61IPFfo9z0iBHtoYccNk0B7I0MJQfHvMdPPD/qHd1hccpwz3zM48a+xC8lPoOu7BqcA34qhDy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Õpetaja</cp:lastModifiedBy>
  <cp:revision>4</cp:revision>
  <dcterms:created xsi:type="dcterms:W3CDTF">2019-09-11T16:51:00Z</dcterms:created>
  <dcterms:modified xsi:type="dcterms:W3CDTF">2021-09-18T13:19:00Z</dcterms:modified>
</cp:coreProperties>
</file>