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11" w:rsidRDefault="007E1844" w:rsidP="007E1844">
      <w:pPr>
        <w:spacing w:before="120" w:line="259" w:lineRule="auto"/>
        <w:jc w:val="center"/>
        <w:rPr>
          <w:b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Lahuse kontsentratsiooni määramine tiitrimisel</w:t>
      </w:r>
    </w:p>
    <w:p w:rsidR="007E1844" w:rsidRDefault="007E1844">
      <w:pPr>
        <w:spacing w:before="120" w:line="259" w:lineRule="auto"/>
        <w:rPr>
          <w:b/>
        </w:rPr>
      </w:pPr>
    </w:p>
    <w:p w:rsidR="003C3411" w:rsidRDefault="00F16775">
      <w:pPr>
        <w:spacing w:before="120" w:line="259" w:lineRule="auto"/>
      </w:pPr>
      <w:r>
        <w:rPr>
          <w:b/>
        </w:rPr>
        <w:t xml:space="preserve">Vanuseaste: </w:t>
      </w:r>
      <w:r>
        <w:t>10. klass</w:t>
      </w:r>
    </w:p>
    <w:p w:rsidR="003C3411" w:rsidRDefault="00F16775">
      <w:pPr>
        <w:spacing w:before="120" w:line="259" w:lineRule="auto"/>
      </w:pPr>
      <w:r>
        <w:rPr>
          <w:b/>
        </w:rPr>
        <w:t xml:space="preserve">Materjali tüüp: </w:t>
      </w:r>
      <w:r>
        <w:t>õpilase tööleht (täiendav variant)</w:t>
      </w:r>
    </w:p>
    <w:p w:rsidR="003C3411" w:rsidRDefault="00F16775">
      <w:pPr>
        <w:spacing w:before="120" w:line="259" w:lineRule="auto"/>
      </w:pPr>
      <w:r>
        <w:rPr>
          <w:b/>
        </w:rPr>
        <w:t xml:space="preserve">Eesmärk: </w:t>
      </w:r>
      <w:r>
        <w:t>määrata joogivee üldkaredus.</w:t>
      </w:r>
    </w:p>
    <w:p w:rsidR="003C3411" w:rsidRDefault="00F16775">
      <w:pPr>
        <w:spacing w:before="120" w:line="259" w:lineRule="auto"/>
      </w:pPr>
      <w:r>
        <w:rPr>
          <w:b/>
        </w:rPr>
        <w:t>Seos õpitulemustega</w:t>
      </w:r>
      <w:r>
        <w:t xml:space="preserve">: </w:t>
      </w:r>
    </w:p>
    <w:p w:rsidR="003C3411" w:rsidRDefault="00F16775">
      <w:pPr>
        <w:numPr>
          <w:ilvl w:val="0"/>
          <w:numId w:val="1"/>
        </w:numPr>
        <w:spacing w:before="120" w:line="259" w:lineRule="auto"/>
        <w:rPr>
          <w:highlight w:val="white"/>
        </w:rPr>
      </w:pPr>
      <w:r>
        <w:rPr>
          <w:highlight w:val="white"/>
        </w:rPr>
        <w:t>oskab arvutada molaarset kontsentratsiooni;</w:t>
      </w:r>
    </w:p>
    <w:p w:rsidR="003C3411" w:rsidRDefault="00F16775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3C3411" w:rsidRDefault="00F16775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highlight w:val="white"/>
        </w:rPr>
        <w:t>rakendab omandatud eksperimentaaltöö oskusi keerukamaid ülesandeid lahendades ning kasutab säästlikult ja ohutult keemilisi reaktiive nii keemialaboris kui ka argielus;</w:t>
      </w:r>
    </w:p>
    <w:p w:rsidR="003C3411" w:rsidRDefault="00F16775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i/>
          <w:highlight w:val="white"/>
        </w:rPr>
        <w:t>(ainekavas praktiline töö: lahuse kontsentratsiooni määramine tiitrimisel (nt vee mööduva kareduse määramine, leelise kontsentratsiooni määramine puhastusvahendis või happe kontsentratsiooni määramine akuhappes vms).</w:t>
      </w:r>
    </w:p>
    <w:p w:rsidR="003C3411" w:rsidRDefault="00F16775">
      <w:pPr>
        <w:spacing w:before="120" w:line="259" w:lineRule="auto"/>
      </w:pPr>
      <w:r>
        <w:rPr>
          <w:b/>
        </w:rPr>
        <w:t>Põhimõisted:</w:t>
      </w:r>
      <w:r>
        <w:t xml:space="preserve"> molaarne kontsentratsioon.</w:t>
      </w:r>
    </w:p>
    <w:p w:rsidR="003C3411" w:rsidRDefault="00F16775">
      <w:pPr>
        <w:spacing w:before="120" w:line="259" w:lineRule="auto"/>
        <w:rPr>
          <w:b/>
        </w:rPr>
      </w:pPr>
      <w:r>
        <w:br w:type="page"/>
      </w:r>
    </w:p>
    <w:p w:rsidR="003C3411" w:rsidRDefault="00F16775">
      <w:pPr>
        <w:spacing w:before="120" w:line="259" w:lineRule="auto"/>
        <w:rPr>
          <w:b/>
        </w:rPr>
      </w:pPr>
      <w:r>
        <w:rPr>
          <w:b/>
        </w:rPr>
        <w:lastRenderedPageBreak/>
        <w:t xml:space="preserve">TÖÖ EESMÄRK: </w:t>
      </w:r>
      <w:r>
        <w:t>üldkareduse (kaltsium- ja magneesiumioonide sisalduse) määramine joogivees</w:t>
      </w:r>
    </w:p>
    <w:p w:rsidR="003C3411" w:rsidRDefault="003C3411">
      <w:pPr>
        <w:spacing w:line="240" w:lineRule="auto"/>
        <w:rPr>
          <w:b/>
        </w:rPr>
      </w:pPr>
    </w:p>
    <w:p w:rsidR="003C3411" w:rsidRDefault="00F16775">
      <w:pPr>
        <w:spacing w:line="240" w:lineRule="auto"/>
        <w:rPr>
          <w:b/>
        </w:rPr>
      </w:pPr>
      <w:r>
        <w:rPr>
          <w:b/>
        </w:rPr>
        <w:t>TÖÖ KÄIK</w:t>
      </w:r>
    </w:p>
    <w:p w:rsidR="003C3411" w:rsidRDefault="00F16775">
      <w:pPr>
        <w:spacing w:line="276" w:lineRule="auto"/>
      </w:pPr>
      <w:r>
        <w:t>Mõõtesilindriga mõõdetakse 10</w:t>
      </w:r>
      <w:r>
        <w:rPr>
          <w:u w:val="single"/>
        </w:rPr>
        <w:t>0</w:t>
      </w:r>
      <w:r>
        <w:t xml:space="preserve"> ml (või suurema karedusega vete / mineraalvete uurimisel 5</w:t>
      </w:r>
      <w:r>
        <w:rPr>
          <w:u w:val="single"/>
        </w:rPr>
        <w:t>0</w:t>
      </w:r>
      <w:r>
        <w:t xml:space="preserve"> ml) </w:t>
      </w:r>
      <w:r>
        <w:rPr>
          <w:b/>
        </w:rPr>
        <w:t>vett</w:t>
      </w:r>
      <w:r>
        <w:t>. Viimased tilgad lisatakse täpsuse huvides Pasteuri pipetiga. Mõõdetud vesi valatakse koonilisse kolbi.</w:t>
      </w:r>
    </w:p>
    <w:p w:rsidR="003C3411" w:rsidRDefault="003C3411">
      <w:pPr>
        <w:spacing w:line="276" w:lineRule="auto"/>
        <w:rPr>
          <w:sz w:val="10"/>
          <w:szCs w:val="10"/>
        </w:rPr>
      </w:pPr>
    </w:p>
    <w:p w:rsidR="003C3411" w:rsidRDefault="00F16775">
      <w:pPr>
        <w:spacing w:line="276" w:lineRule="auto"/>
      </w:pPr>
      <w:r>
        <w:t xml:space="preserve">Veele lisatakse gradueeritud katseklaasi abil mõõdetud 3 ml </w:t>
      </w:r>
      <w:r>
        <w:rPr>
          <w:b/>
        </w:rPr>
        <w:t>ammooniumpuhvrit</w:t>
      </w:r>
      <w:sdt>
        <w:sdtPr>
          <w:tag w:val="goog_rdk_0"/>
          <w:id w:val="1347754995"/>
        </w:sdtPr>
        <w:sdtEndPr/>
        <w:sdtContent>
          <w:r>
            <w:rPr>
              <w:rFonts w:ascii="Gungsuh" w:eastAsia="Gungsuh" w:hAnsi="Gungsuh" w:cs="Gungsuh"/>
            </w:rPr>
            <w:t xml:space="preserve"> ning seejärel 10−12 tilka indikaatorit </w:t>
          </w:r>
        </w:sdtContent>
      </w:sdt>
      <w:r>
        <w:rPr>
          <w:b/>
        </w:rPr>
        <w:t>eriokroommust T</w:t>
      </w:r>
      <w:r>
        <w:t>. Saadakse punakaslilla värvusega lahus, mis sisaldab metalliioonidest ja indikaatorist moodustunud kompleksühendit.</w:t>
      </w:r>
    </w:p>
    <w:p w:rsidR="003C3411" w:rsidRDefault="003C3411">
      <w:pPr>
        <w:spacing w:line="276" w:lineRule="auto"/>
        <w:rPr>
          <w:sz w:val="10"/>
          <w:szCs w:val="10"/>
        </w:rPr>
      </w:pPr>
    </w:p>
    <w:p w:rsidR="003C3411" w:rsidRDefault="00F16775">
      <w:pPr>
        <w:spacing w:line="276" w:lineRule="auto"/>
      </w:pPr>
      <w:r>
        <w:t xml:space="preserve">Proovi tiitritakse büretis oleva </w:t>
      </w: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>-EDTA</w:t>
      </w:r>
      <w:r>
        <w:t xml:space="preserve"> lahusega. See seob metalliioonid püsivamasse kompleksühendisse ja nõnda vabaneb lahusesse indikaator. Et indikaatorile on iseloomulik sinine värvus, siis määrab selle saabumine ka tiitrimise lõpp-punkti. Tiitrimise vältel tuleb lahust pidevalt segada.</w:t>
      </w:r>
    </w:p>
    <w:p w:rsidR="003C3411" w:rsidRDefault="003C3411">
      <w:pPr>
        <w:spacing w:line="276" w:lineRule="auto"/>
      </w:pPr>
    </w:p>
    <w:p w:rsidR="003C3411" w:rsidRDefault="00F16775">
      <w:pPr>
        <w:spacing w:line="276" w:lineRule="auto"/>
        <w:rPr>
          <w:b/>
        </w:rPr>
      </w:pPr>
      <w:r>
        <w:rPr>
          <w:b/>
        </w:rPr>
        <w:t>TULEMUSED</w:t>
      </w:r>
    </w:p>
    <w:p w:rsidR="003C3411" w:rsidRDefault="00F16775">
      <w:pPr>
        <w:spacing w:line="276" w:lineRule="auto"/>
      </w:pPr>
      <w:r>
        <w:t>Märkige büretis oleva Na</w:t>
      </w:r>
      <w:r>
        <w:rPr>
          <w:vertAlign w:val="subscript"/>
        </w:rPr>
        <w:t>2</w:t>
      </w:r>
      <w:r>
        <w:t>-EDTA lahuse algnivoo ja lõppnivoo.</w:t>
      </w:r>
    </w:p>
    <w:p w:rsidR="003C3411" w:rsidRDefault="00F16775">
      <w:pPr>
        <w:spacing w:before="240" w:line="276" w:lineRule="auto"/>
        <w:ind w:firstLine="708"/>
      </w:pPr>
      <w:r>
        <w:t>V(alg) = ……… ml</w:t>
      </w:r>
      <w:r>
        <w:tab/>
      </w:r>
      <w:r>
        <w:tab/>
      </w:r>
      <w:r>
        <w:tab/>
        <w:t>V(lõpp) = ……… ml</w:t>
      </w:r>
    </w:p>
    <w:p w:rsidR="003C3411" w:rsidRDefault="003C3411">
      <w:pPr>
        <w:spacing w:line="276" w:lineRule="auto"/>
      </w:pPr>
    </w:p>
    <w:p w:rsidR="003C3411" w:rsidRDefault="00F16775">
      <w:pPr>
        <w:spacing w:line="276" w:lineRule="auto"/>
      </w:pPr>
      <w:r>
        <w:t>Arvutage ühes proovis olevate kaltsium- ja magneesiumioonidega reageerimiseks kulunud Na</w:t>
      </w:r>
      <w:r>
        <w:rPr>
          <w:vertAlign w:val="subscript"/>
        </w:rPr>
        <w:t>2</w:t>
      </w:r>
      <w:r>
        <w:t>-EDTA lahuse ruumala.</w:t>
      </w:r>
    </w:p>
    <w:p w:rsidR="003C3411" w:rsidRDefault="00F16775">
      <w:pPr>
        <w:spacing w:before="240" w:line="276" w:lineRule="auto"/>
        <w:ind w:firstLine="360"/>
      </w:pPr>
      <w:r>
        <w:t>V(Na</w:t>
      </w:r>
      <w:r>
        <w:rPr>
          <w:vertAlign w:val="subscript"/>
        </w:rPr>
        <w:t>2</w:t>
      </w:r>
      <w:r>
        <w:t>-EDTA) = ……… ml</w:t>
      </w:r>
    </w:p>
    <w:p w:rsidR="003C3411" w:rsidRDefault="003C3411">
      <w:pPr>
        <w:spacing w:before="240" w:line="276" w:lineRule="auto"/>
      </w:pPr>
    </w:p>
    <w:p w:rsidR="003C3411" w:rsidRDefault="00F167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>
        <w:rPr>
          <w:color w:val="000000"/>
        </w:rPr>
        <w:t>Arvutage uuritud veeproovi üldkaredus ehk kaltsium- ja magneesiumioonide kogusisaldus (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mmol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l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)</m:t>
        </m:r>
      </m:oMath>
      <w:r>
        <w:rPr>
          <w:color w:val="000000"/>
        </w:rPr>
        <w:t>.</w:t>
      </w:r>
    </w:p>
    <w:p w:rsidR="003C3411" w:rsidRDefault="00F16775">
      <w:pPr>
        <w:jc w:val="left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üldkaredus=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V(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  <w:vertAlign w:val="subscript"/>
                    </w:rPr>
                    <m:t>Na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-EDTA)∙c∙1000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V(uuritud vesi)</m:t>
              </m:r>
            </m:den>
          </m:f>
        </m:oMath>
      </m:oMathPara>
    </w:p>
    <w:p w:rsidR="003C3411" w:rsidRDefault="00F16775">
      <w:pPr>
        <w:spacing w:line="240" w:lineRule="auto"/>
        <w:ind w:left="705"/>
        <w:rPr>
          <w:i/>
          <w:sz w:val="20"/>
          <w:szCs w:val="20"/>
        </w:rPr>
      </w:pPr>
      <w:r>
        <w:rPr>
          <w:i/>
          <w:sz w:val="20"/>
          <w:szCs w:val="20"/>
        </w:rPr>
        <w:t>Arvutamisel võtke nii kulunud Na</w:t>
      </w:r>
      <w:r>
        <w:rPr>
          <w:i/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>-EDTA kui uuritud veeproovi ruumala ml. Kontsentratsiooni „c“ väärtus on tahvlil.</w:t>
      </w:r>
    </w:p>
    <w:p w:rsidR="003C3411" w:rsidRDefault="003C3411">
      <w:pPr>
        <w:spacing w:line="240" w:lineRule="auto"/>
        <w:rPr>
          <w:i/>
        </w:rPr>
      </w:pPr>
    </w:p>
    <w:p w:rsidR="003C3411" w:rsidRDefault="003C3411">
      <w:pPr>
        <w:spacing w:line="240" w:lineRule="auto"/>
        <w:rPr>
          <w:i/>
        </w:rPr>
      </w:pPr>
    </w:p>
    <w:p w:rsidR="003C3411" w:rsidRDefault="00F167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>
        <w:rPr>
          <w:color w:val="000000"/>
        </w:rPr>
        <w:t>Arvutage uuritud veeproovi karedus ümberarvutatuna kaltsiumioonide sisalduseks (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mg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l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)</m:t>
        </m:r>
      </m:oMath>
      <w:r>
        <w:rPr>
          <w:color w:val="000000"/>
        </w:rPr>
        <w:t>.</w:t>
      </w:r>
    </w:p>
    <w:p w:rsidR="003C3411" w:rsidRDefault="00F16775">
      <w:pPr>
        <w:jc w:val="left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kaltsiumioonide sisaldus=(tulemus 1. punktis)∙40,1</m:t>
          </m:r>
        </m:oMath>
      </m:oMathPara>
    </w:p>
    <w:p w:rsidR="003C3411" w:rsidRDefault="003C3411">
      <w:pPr>
        <w:spacing w:line="240" w:lineRule="auto"/>
        <w:ind w:left="708" w:firstLine="360"/>
      </w:pPr>
    </w:p>
    <w:p w:rsidR="003C3411" w:rsidRDefault="003C3411">
      <w:pPr>
        <w:spacing w:line="240" w:lineRule="auto"/>
        <w:ind w:left="708" w:firstLine="360"/>
      </w:pPr>
    </w:p>
    <w:p w:rsidR="003C3411" w:rsidRDefault="00F167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color w:val="000000"/>
        </w:rPr>
        <w:t xml:space="preserve">Kui soovite võrrelda enda tulemust etiketil märgituga, siis kasutage järgmist valemit ning võrrelge saadud vastust punktis </w:t>
      </w:r>
      <w:r>
        <w:rPr>
          <w:b/>
          <w:color w:val="000000"/>
        </w:rPr>
        <w:t xml:space="preserve">1. </w:t>
      </w:r>
      <w:r>
        <w:rPr>
          <w:color w:val="000000"/>
        </w:rPr>
        <w:t>saadud tulemusega.</w:t>
      </w:r>
    </w:p>
    <w:p w:rsidR="003C3411" w:rsidRDefault="00F16775">
      <w:pPr>
        <w:jc w:val="left"/>
        <w:rPr>
          <w:rFonts w:ascii="Cambria Math" w:eastAsia="Cambria Math" w:hAnsi="Cambria Math" w:cs="Cambria Math"/>
          <w:color w:val="000000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üldkaredus=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m(kaltsiumioonid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0"/>
                      <w:szCs w:val="20"/>
                    </w:rPr>
                    <m:t>mg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0"/>
                      <w:szCs w:val="20"/>
                    </w:rPr>
                    <m:t>l</m:t>
                  </m:r>
                </m:den>
              </m:f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40,1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m(magneesiumioonid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0"/>
                      <w:szCs w:val="20"/>
                    </w:rPr>
                    <m:t>mg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0"/>
                      <w:szCs w:val="20"/>
                    </w:rPr>
                    <m:t>l</m:t>
                  </m:r>
                </m:den>
              </m:f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0"/>
                  <w:szCs w:val="20"/>
                </w:rPr>
                <m:t>24,3</m:t>
              </m:r>
            </m:den>
          </m:f>
        </m:oMath>
      </m:oMathPara>
    </w:p>
    <w:sectPr w:rsidR="003C3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8A" w:rsidRDefault="00D81F8A">
      <w:pPr>
        <w:spacing w:line="240" w:lineRule="auto"/>
      </w:pPr>
      <w:r>
        <w:separator/>
      </w:r>
    </w:p>
  </w:endnote>
  <w:endnote w:type="continuationSeparator" w:id="0">
    <w:p w:rsidR="00D81F8A" w:rsidRDefault="00D81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40" w:rsidRDefault="0069444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  <w:p w:rsidR="003C3411" w:rsidRDefault="003C34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Praktikumis kasutatud mõõtmisvahendid on Euroopa Sotsiaalfondist Innove vahendusel toetust saanud projekti </w:t>
    </w:r>
    <w:r>
      <w:rPr>
        <w:noProof/>
        <w:lang w:eastAsia="et-E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5176825</wp:posOffset>
          </wp:positionH>
          <wp:positionV relativeFrom="paragraph">
            <wp:posOffset>0</wp:posOffset>
          </wp:positionV>
          <wp:extent cx="1202690" cy="69405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3C3411" w:rsidRDefault="00F16775">
    <w:pPr>
      <w:spacing w:line="240" w:lineRule="auto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8A" w:rsidRDefault="00D81F8A">
      <w:pPr>
        <w:spacing w:line="240" w:lineRule="auto"/>
      </w:pPr>
      <w:r>
        <w:separator/>
      </w:r>
    </w:p>
  </w:footnote>
  <w:footnote w:type="continuationSeparator" w:id="0">
    <w:p w:rsidR="00D81F8A" w:rsidRDefault="00D81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40" w:rsidRDefault="0069444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40" w:rsidRDefault="00694440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11" w:rsidRDefault="003C34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C39"/>
    <w:multiLevelType w:val="multilevel"/>
    <w:tmpl w:val="BCD27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A430C"/>
    <w:multiLevelType w:val="multilevel"/>
    <w:tmpl w:val="EE84E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11"/>
    <w:rsid w:val="001F0A4D"/>
    <w:rsid w:val="003C3411"/>
    <w:rsid w:val="005A1A72"/>
    <w:rsid w:val="00694440"/>
    <w:rsid w:val="007E1844"/>
    <w:rsid w:val="00D81F8A"/>
    <w:rsid w:val="00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DEC7"/>
  <w15:docId w15:val="{FECF8FF2-38C0-40CA-B45A-B123524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1472"/>
  </w:style>
  <w:style w:type="paragraph" w:styleId="Pealkiri1">
    <w:name w:val="heading 1"/>
    <w:basedOn w:val="Normaallaad"/>
    <w:next w:val="Normaallaad"/>
    <w:link w:val="Pealkiri1Mrk"/>
    <w:uiPriority w:val="9"/>
    <w:qFormat/>
    <w:rsid w:val="0049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914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914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491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491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491472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491472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"/>
    <w:qFormat/>
    <w:rsid w:val="00491472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4914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49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Vrvilineloendrhk11">
    <w:name w:val="Värviline loend – rõhk 11"/>
    <w:basedOn w:val="Normaallaad"/>
    <w:uiPriority w:val="34"/>
    <w:qFormat/>
    <w:rsid w:val="0049147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7B3D"/>
  </w:style>
  <w:style w:type="paragraph" w:styleId="Jalus">
    <w:name w:val="footer"/>
    <w:basedOn w:val="Normaallaad"/>
    <w:link w:val="JalusMrk"/>
    <w:uiPriority w:val="99"/>
    <w:unhideWhenUsed/>
    <w:rsid w:val="00367B3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7B3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7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67B3D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link w:val="Pealkiri1"/>
    <w:uiPriority w:val="9"/>
    <w:rsid w:val="004914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Pealkiri2Mrk">
    <w:name w:val="Pealkiri 2 Märk"/>
    <w:link w:val="Pealkiri2"/>
    <w:uiPriority w:val="9"/>
    <w:semiHidden/>
    <w:rsid w:val="004914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Pealkiri3Mrk">
    <w:name w:val="Pealkiri 3 Märk"/>
    <w:link w:val="Pealkiri3"/>
    <w:uiPriority w:val="9"/>
    <w:semiHidden/>
    <w:rsid w:val="00491472"/>
    <w:rPr>
      <w:rFonts w:ascii="Cambria" w:eastAsia="Times New Roman" w:hAnsi="Cambria"/>
      <w:b/>
      <w:bCs/>
      <w:sz w:val="26"/>
      <w:szCs w:val="26"/>
    </w:rPr>
  </w:style>
  <w:style w:type="character" w:customStyle="1" w:styleId="Pealkiri4Mrk">
    <w:name w:val="Pealkiri 4 Märk"/>
    <w:link w:val="Pealkiri4"/>
    <w:uiPriority w:val="9"/>
    <w:semiHidden/>
    <w:rsid w:val="00491472"/>
    <w:rPr>
      <w:b/>
      <w:bCs/>
      <w:sz w:val="28"/>
      <w:szCs w:val="28"/>
    </w:rPr>
  </w:style>
  <w:style w:type="character" w:customStyle="1" w:styleId="Pealkiri5Mrk">
    <w:name w:val="Pealkiri 5 Märk"/>
    <w:link w:val="Pealkiri5"/>
    <w:uiPriority w:val="9"/>
    <w:semiHidden/>
    <w:rsid w:val="00491472"/>
    <w:rPr>
      <w:b/>
      <w:bCs/>
      <w:i/>
      <w:iCs/>
      <w:sz w:val="26"/>
      <w:szCs w:val="26"/>
    </w:rPr>
  </w:style>
  <w:style w:type="character" w:customStyle="1" w:styleId="Pealkiri6Mrk">
    <w:name w:val="Pealkiri 6 Märk"/>
    <w:link w:val="Pealkiri6"/>
    <w:uiPriority w:val="9"/>
    <w:semiHidden/>
    <w:rsid w:val="00491472"/>
    <w:rPr>
      <w:b/>
      <w:bCs/>
    </w:rPr>
  </w:style>
  <w:style w:type="character" w:customStyle="1" w:styleId="Pealkiri7Mrk">
    <w:name w:val="Pealkiri 7 Märk"/>
    <w:link w:val="Pealkiri7"/>
    <w:uiPriority w:val="9"/>
    <w:semiHidden/>
    <w:rsid w:val="00491472"/>
    <w:rPr>
      <w:sz w:val="24"/>
      <w:szCs w:val="24"/>
    </w:rPr>
  </w:style>
  <w:style w:type="character" w:customStyle="1" w:styleId="Pealkiri8Mrk">
    <w:name w:val="Pealkiri 8 Märk"/>
    <w:link w:val="Pealkiri8"/>
    <w:uiPriority w:val="9"/>
    <w:semiHidden/>
    <w:rsid w:val="00491472"/>
    <w:rPr>
      <w:i/>
      <w:iCs/>
      <w:sz w:val="24"/>
      <w:szCs w:val="24"/>
    </w:rPr>
  </w:style>
  <w:style w:type="character" w:customStyle="1" w:styleId="Pealkiri9Mrk">
    <w:name w:val="Pealkiri 9 Märk"/>
    <w:link w:val="Pealkiri9"/>
    <w:uiPriority w:val="9"/>
    <w:semiHidden/>
    <w:rsid w:val="00491472"/>
    <w:rPr>
      <w:rFonts w:ascii="Cambria" w:eastAsia="Times New Roman" w:hAnsi="Cambria"/>
    </w:rPr>
  </w:style>
  <w:style w:type="paragraph" w:styleId="Pealdis">
    <w:name w:val="caption"/>
    <w:basedOn w:val="Normaallaad"/>
    <w:next w:val="Normaallaad"/>
    <w:uiPriority w:val="35"/>
    <w:qFormat/>
    <w:rsid w:val="00491472"/>
    <w:rPr>
      <w:b/>
      <w:bCs/>
      <w:sz w:val="18"/>
      <w:szCs w:val="18"/>
    </w:rPr>
  </w:style>
  <w:style w:type="character" w:customStyle="1" w:styleId="PealkiriMrk">
    <w:name w:val="Pealkiri Märk"/>
    <w:link w:val="Pealkiri"/>
    <w:uiPriority w:val="10"/>
    <w:rsid w:val="00491472"/>
    <w:rPr>
      <w:rFonts w:ascii="Cambria" w:eastAsia="Times New Roman" w:hAnsi="Cambria"/>
      <w:b/>
      <w:bCs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pPr>
      <w:spacing w:after="60"/>
      <w:jc w:val="center"/>
    </w:pPr>
    <w:rPr>
      <w:rFonts w:ascii="Cambria" w:eastAsia="Cambria" w:hAnsi="Cambria" w:cs="Cambria"/>
    </w:rPr>
  </w:style>
  <w:style w:type="character" w:customStyle="1" w:styleId="AlapealkiriMrk">
    <w:name w:val="Alapealkiri Märk"/>
    <w:link w:val="Alapealkiri"/>
    <w:uiPriority w:val="11"/>
    <w:rsid w:val="00491472"/>
    <w:rPr>
      <w:rFonts w:ascii="Cambria" w:eastAsia="Times New Roman" w:hAnsi="Cambria"/>
      <w:sz w:val="24"/>
      <w:szCs w:val="24"/>
    </w:rPr>
  </w:style>
  <w:style w:type="character" w:styleId="Tugev">
    <w:name w:val="Strong"/>
    <w:uiPriority w:val="22"/>
    <w:qFormat/>
    <w:rsid w:val="00491472"/>
    <w:rPr>
      <w:b/>
      <w:bCs/>
    </w:rPr>
  </w:style>
  <w:style w:type="character" w:styleId="Rhutus">
    <w:name w:val="Emphasis"/>
    <w:uiPriority w:val="20"/>
    <w:qFormat/>
    <w:rsid w:val="00491472"/>
    <w:rPr>
      <w:rFonts w:ascii="Calibri" w:hAnsi="Calibri"/>
      <w:b/>
      <w:i/>
      <w:iCs/>
    </w:rPr>
  </w:style>
  <w:style w:type="paragraph" w:customStyle="1" w:styleId="Keskminekoordinaatvrk21">
    <w:name w:val="Keskmine koordinaatvõrk 21"/>
    <w:basedOn w:val="Normaallaad"/>
    <w:link w:val="Keskminekoordinaatvrk2Mrk"/>
    <w:uiPriority w:val="1"/>
    <w:qFormat/>
    <w:rsid w:val="00491472"/>
    <w:rPr>
      <w:szCs w:val="32"/>
    </w:rPr>
  </w:style>
  <w:style w:type="character" w:customStyle="1" w:styleId="Keskminekoordinaatvrk2Mrk">
    <w:name w:val="Keskmine koordinaatvõrk 2 Märk"/>
    <w:link w:val="Keskminekoordinaatvrk21"/>
    <w:uiPriority w:val="1"/>
    <w:rsid w:val="00491472"/>
    <w:rPr>
      <w:sz w:val="24"/>
      <w:szCs w:val="32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491472"/>
    <w:rPr>
      <w:i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491472"/>
    <w:rPr>
      <w:i/>
      <w:sz w:val="24"/>
      <w:szCs w:val="24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491472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link w:val="Helevarjustusrhk21"/>
    <w:uiPriority w:val="30"/>
    <w:rsid w:val="00491472"/>
    <w:rPr>
      <w:b/>
      <w:i/>
      <w:sz w:val="24"/>
    </w:rPr>
  </w:style>
  <w:style w:type="character" w:customStyle="1" w:styleId="Tavatabel31">
    <w:name w:val="Tavatabel 31"/>
    <w:uiPriority w:val="19"/>
    <w:qFormat/>
    <w:rsid w:val="00491472"/>
    <w:rPr>
      <w:i/>
      <w:color w:val="5A5A5A"/>
    </w:rPr>
  </w:style>
  <w:style w:type="character" w:customStyle="1" w:styleId="Tavatabel41">
    <w:name w:val="Tavatabel 41"/>
    <w:uiPriority w:val="21"/>
    <w:qFormat/>
    <w:rsid w:val="00491472"/>
    <w:rPr>
      <w:b/>
      <w:i/>
      <w:sz w:val="24"/>
      <w:szCs w:val="24"/>
      <w:u w:val="single"/>
    </w:rPr>
  </w:style>
  <w:style w:type="character" w:customStyle="1" w:styleId="Tavatabel51">
    <w:name w:val="Tavatabel 51"/>
    <w:uiPriority w:val="31"/>
    <w:qFormat/>
    <w:rsid w:val="00491472"/>
    <w:rPr>
      <w:sz w:val="24"/>
      <w:szCs w:val="24"/>
      <w:u w:val="single"/>
    </w:rPr>
  </w:style>
  <w:style w:type="character" w:customStyle="1" w:styleId="Helekontuurtabel1">
    <w:name w:val="Hele kontuurtabel1"/>
    <w:uiPriority w:val="32"/>
    <w:qFormat/>
    <w:rsid w:val="00491472"/>
    <w:rPr>
      <w:b/>
      <w:sz w:val="24"/>
      <w:u w:val="single"/>
    </w:rPr>
  </w:style>
  <w:style w:type="character" w:customStyle="1" w:styleId="Heleruuttabel11">
    <w:name w:val="Hele ruuttabel 11"/>
    <w:uiPriority w:val="33"/>
    <w:qFormat/>
    <w:rsid w:val="00491472"/>
    <w:rPr>
      <w:rFonts w:ascii="Cambria" w:eastAsia="Times New Roman" w:hAnsi="Cambria"/>
      <w:b/>
      <w:i/>
      <w:sz w:val="24"/>
      <w:szCs w:val="24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491472"/>
    <w:pPr>
      <w:outlineLvl w:val="9"/>
    </w:pPr>
  </w:style>
  <w:style w:type="character" w:customStyle="1" w:styleId="apple-converted-space">
    <w:name w:val="apple-converted-space"/>
    <w:rsid w:val="002C2EBC"/>
  </w:style>
  <w:style w:type="paragraph" w:styleId="Normaallaadveeb">
    <w:name w:val="Normal (Web)"/>
    <w:basedOn w:val="Normaallaad"/>
    <w:uiPriority w:val="99"/>
    <w:semiHidden/>
    <w:unhideWhenUsed/>
    <w:rsid w:val="002C2EBC"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uiPriority w:val="99"/>
    <w:unhideWhenUsed/>
    <w:rsid w:val="002C2EBC"/>
    <w:rPr>
      <w:color w:val="0000FF"/>
      <w:u w:val="single"/>
    </w:rPr>
  </w:style>
  <w:style w:type="paragraph" w:customStyle="1" w:styleId="Default">
    <w:name w:val="Default"/>
    <w:uiPriority w:val="99"/>
    <w:rsid w:val="001E5548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t1">
    <w:name w:val="st1"/>
    <w:rsid w:val="00512F23"/>
  </w:style>
  <w:style w:type="table" w:styleId="Kontuurtabel">
    <w:name w:val="Table Grid"/>
    <w:basedOn w:val="Normaaltabel"/>
    <w:uiPriority w:val="59"/>
    <w:rsid w:val="00653D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E11AB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Kohatitetekst">
    <w:name w:val="Placeholder Text"/>
    <w:basedOn w:val="Liguvaikefont"/>
    <w:uiPriority w:val="99"/>
    <w:semiHidden/>
    <w:rsid w:val="00A00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r6TUPAX5HPuQjzWQyy1CTq3pQ==">AMUW2mXmAbaEfaokSoEhXrdpqd8y3QkRZc+zPtu2U3tYA4CI+CU0lAC7Q/RYLomua2W7vDCbMZPIJkVBknGnb6vLyF9CS+z6CAbQGBCKeDHpFnvYtuwrIzJUfalKR+ml60C7WMFHy5+VhjR9D9ROfkhGn6carkJtGA==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4</cp:revision>
  <dcterms:created xsi:type="dcterms:W3CDTF">2018-10-14T15:11:00Z</dcterms:created>
  <dcterms:modified xsi:type="dcterms:W3CDTF">2021-09-18T13:26:00Z</dcterms:modified>
</cp:coreProperties>
</file>