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F2" w:rsidRDefault="009966A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Aine hulga määramine lahuses</w:t>
      </w:r>
    </w:p>
    <w:p w:rsidR="00045AF2" w:rsidRDefault="009966AE">
      <w:pPr>
        <w:spacing w:before="120" w:line="259" w:lineRule="auto"/>
      </w:pPr>
      <w:r>
        <w:rPr>
          <w:b/>
        </w:rPr>
        <w:t xml:space="preserve">Vanuseaste: </w:t>
      </w:r>
      <w:r>
        <w:t>9. klass</w:t>
      </w:r>
    </w:p>
    <w:p w:rsidR="00045AF2" w:rsidRDefault="009966AE">
      <w:pPr>
        <w:spacing w:before="120" w:line="259" w:lineRule="auto"/>
      </w:pPr>
      <w:r>
        <w:rPr>
          <w:b/>
        </w:rPr>
        <w:t xml:space="preserve">Materjali tüüp: </w:t>
      </w:r>
      <w:r>
        <w:t>õpilase tööleht (põhivariant)</w:t>
      </w:r>
    </w:p>
    <w:p w:rsidR="00045AF2" w:rsidRDefault="009966AE">
      <w:pPr>
        <w:spacing w:before="120" w:line="259" w:lineRule="auto"/>
      </w:pPr>
      <w:r>
        <w:rPr>
          <w:b/>
        </w:rPr>
        <w:t xml:space="preserve">Eesmärk: </w:t>
      </w:r>
      <w:r>
        <w:t xml:space="preserve">määrata eksperimentaalselt väävelhappe sisaldus lahuses </w:t>
      </w:r>
    </w:p>
    <w:p w:rsidR="00045AF2" w:rsidRDefault="009966AE">
      <w:pPr>
        <w:spacing w:before="120" w:line="259" w:lineRule="auto"/>
      </w:pPr>
      <w:r>
        <w:rPr>
          <w:b/>
        </w:rPr>
        <w:t>Seos õpitulemustega</w:t>
      </w:r>
      <w:r>
        <w:t xml:space="preserve">: </w:t>
      </w:r>
    </w:p>
    <w:p w:rsidR="00045AF2" w:rsidRDefault="009966AE">
      <w:pPr>
        <w:numPr>
          <w:ilvl w:val="0"/>
          <w:numId w:val="2"/>
        </w:numPr>
        <w:spacing w:before="120" w:line="259" w:lineRule="auto"/>
        <w:rPr>
          <w:highlight w:val="white"/>
        </w:rPr>
      </w:pPr>
      <w:r>
        <w:rPr>
          <w:highlight w:val="white"/>
        </w:rPr>
        <w:t>tunneb põhilisi aine hulga, massi ja ruumala ühikuid ning teeb vajalikke ühikute teisendusi;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teeb arvutusi aine hulga, massi ja gaasi ruumala vaheliste seoste alusel ning põhjendab neid loogiliselt;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mõistab ainete massi jäävust keemilistes reaktsioonides j</w:t>
      </w:r>
      <w:r>
        <w:rPr>
          <w:highlight w:val="white"/>
        </w:rPr>
        <w:t>a reaktsioonivõrrandi kordajate tähendust (reageerivate ainete hulkade suhe);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analüüsib keemilise reaktsiooni võrrandis sisalduvat (kvalitatiivset ja kvantitatiivset) infot;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lahendab reaktsioonivõrranditel põhinevaid arvutusülesandeid, lähtudes reaktsiooni</w:t>
      </w:r>
      <w:r>
        <w:rPr>
          <w:highlight w:val="white"/>
        </w:rPr>
        <w:t>võrrandite kordajatest (ainete moolsuhtest) ning reaktsioonis osalevate ainete hulkadest (moolide arvust), tehes vajaduse korral ümberarvutusi ainehulga, massi ja (gaasi) ruumala vaheliste seoste alusel; põhjendab lahenduskäiku;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hindab loogiliselt arvutust</w:t>
      </w:r>
      <w:r>
        <w:rPr>
          <w:highlight w:val="white"/>
        </w:rPr>
        <w:t>ulemuste õigsust ning teeb arvutustulemuste põhjal järeldusi ja otsustusi.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selgitab keemiliste reaktsioonide soojusefekti (energia eraldumist või neeldumist);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plaanib ja teeb ohutult lihtsamaid keemiakatseid, mõistab igapäevaelus kasutatavate kemikaalide j</w:t>
      </w:r>
      <w:r>
        <w:rPr>
          <w:highlight w:val="white"/>
        </w:rPr>
        <w:t>a materjalide ohtlikkust ning rakendab neid kasutades vajalikke ohutusnõudeid;</w:t>
      </w:r>
    </w:p>
    <w:p w:rsidR="00045AF2" w:rsidRDefault="009966AE">
      <w:pPr>
        <w:numPr>
          <w:ilvl w:val="0"/>
          <w:numId w:val="2"/>
        </w:numPr>
        <w:spacing w:line="259" w:lineRule="auto"/>
        <w:rPr>
          <w:highlight w:val="white"/>
        </w:rPr>
      </w:pPr>
      <w:r>
        <w:rPr>
          <w:highlight w:val="white"/>
        </w:rPr>
        <w:t>teeb lihtsamaid arvutusi ainevalemite ja reaktsioonivõrrandite ning lahuste koostise alusel, kontrollib lahenduskäigu õigsust dimensioonanalüüsiga ning hindab arvutustulemuste v</w:t>
      </w:r>
      <w:r>
        <w:rPr>
          <w:highlight w:val="white"/>
        </w:rPr>
        <w:t>astavust reaalsusele.</w:t>
      </w:r>
    </w:p>
    <w:p w:rsidR="00045AF2" w:rsidRDefault="009966AE">
      <w:pPr>
        <w:spacing w:before="120" w:line="259" w:lineRule="auto"/>
        <w:rPr>
          <w:b/>
        </w:rPr>
      </w:pPr>
      <w:r>
        <w:rPr>
          <w:b/>
        </w:rPr>
        <w:t xml:space="preserve">Põhimõisted: </w:t>
      </w:r>
      <w:r>
        <w:t>ainehulk, mool, molaarmass.</w:t>
      </w:r>
      <w:r>
        <w:br w:type="page"/>
      </w:r>
    </w:p>
    <w:p w:rsidR="00045AF2" w:rsidRDefault="009966AE">
      <w:pPr>
        <w:spacing w:before="120" w:line="259" w:lineRule="auto"/>
        <w:rPr>
          <w:b/>
        </w:rPr>
      </w:pPr>
      <w:r>
        <w:rPr>
          <w:b/>
        </w:rPr>
        <w:lastRenderedPageBreak/>
        <w:t xml:space="preserve">TÖÖ EESMÄRK: </w:t>
      </w:r>
      <w:r>
        <w:t>Väävelhappe sisalduse lahuses eksperimentaalne määramine</w:t>
      </w:r>
    </w:p>
    <w:p w:rsidR="00045AF2" w:rsidRDefault="00045AF2">
      <w:pPr>
        <w:spacing w:line="240" w:lineRule="auto"/>
      </w:pPr>
    </w:p>
    <w:p w:rsidR="00045AF2" w:rsidRDefault="009966AE">
      <w:pPr>
        <w:spacing w:line="240" w:lineRule="auto"/>
        <w:rPr>
          <w:b/>
        </w:rPr>
      </w:pPr>
      <w:r>
        <w:rPr>
          <w:b/>
        </w:rPr>
        <w:t>TÖÖ KÄIK</w:t>
      </w:r>
    </w:p>
    <w:p w:rsidR="00045AF2" w:rsidRDefault="009966AE">
      <w:pPr>
        <w:spacing w:before="120" w:line="240" w:lineRule="auto"/>
      </w:pPr>
      <w:r>
        <w:t>Teile on antud väävelhappe lahus. Lahuses oleva väävelhappe sisalduse määramiseks mõõdetakse pipetipumba ja maht</w:t>
      </w:r>
      <w:r>
        <w:t>pipeti abil 10,0 cm</w:t>
      </w:r>
      <w:r>
        <w:rPr>
          <w:vertAlign w:val="superscript"/>
        </w:rPr>
        <w:t xml:space="preserve">3 </w:t>
      </w:r>
      <w:r>
        <w:t>lahust koonilisse kolbi. See ongi uuritav proov.</w:t>
      </w:r>
    </w:p>
    <w:p w:rsidR="00045AF2" w:rsidRDefault="009966AE">
      <w:pPr>
        <w:spacing w:before="120" w:line="240" w:lineRule="auto"/>
      </w:pPr>
      <w:r>
        <w:t xml:space="preserve">Lahusele (uuritavale proovile) lisatakse mõned tilgad indikaatorit fenoolftaleiini. Lahus on värvitu, mis kinnitab, et lahuse keskkond on happeline. </w:t>
      </w:r>
    </w:p>
    <w:p w:rsidR="00045AF2" w:rsidRDefault="009966AE">
      <w:pPr>
        <w:spacing w:before="120" w:line="240" w:lineRule="auto"/>
      </w:pPr>
      <w:r>
        <w:t>Büretist, mille lahuse algnivoo on t</w:t>
      </w:r>
      <w:r>
        <w:t>äpselt fikseeritud, lisatakse koonilises kolvis olevale lahusele kindla kontsentratsiooniga naatriumhüdroksiidi NaOH lahust. Kulgeb neutralisatsioonireaktsioon. NaOH lisamise lõpu määrab see tilk, mille lisamisel ilmub lahusele püsiv hele vaarikapunane vär</w:t>
      </w:r>
      <w:r>
        <w:t>vus ehk kogu hape on reageerinud.  Neutraliseerimise vältel tuleb lahust pidevalt segada.</w:t>
      </w:r>
    </w:p>
    <w:p w:rsidR="00045AF2" w:rsidRDefault="009966AE">
      <w:pPr>
        <w:spacing w:before="120" w:line="240" w:lineRule="auto"/>
      </w:pPr>
      <w:r>
        <w:t>Arvutustes kasutatakse vähemalt kolme paralleelkatse ruumalade keskmist, ent kulunud naatriumhüdroksiidi lahuse ruumalad ei tohiks erineda üle 0,1 cm</w:t>
      </w:r>
      <w:r>
        <w:rPr>
          <w:vertAlign w:val="superscript"/>
        </w:rPr>
        <w:t>3</w:t>
      </w:r>
      <w:r>
        <w:t xml:space="preserve">. </w:t>
      </w:r>
    </w:p>
    <w:p w:rsidR="00045AF2" w:rsidRDefault="00045AF2">
      <w:pPr>
        <w:spacing w:line="240" w:lineRule="auto"/>
      </w:pPr>
    </w:p>
    <w:p w:rsidR="00045AF2" w:rsidRDefault="009966AE">
      <w:pPr>
        <w:spacing w:line="240" w:lineRule="auto"/>
        <w:rPr>
          <w:b/>
        </w:rPr>
      </w:pPr>
      <w:r>
        <w:rPr>
          <w:b/>
        </w:rPr>
        <w:t>TULEMUSED</w:t>
      </w:r>
    </w:p>
    <w:tbl>
      <w:tblPr>
        <w:tblStyle w:val="a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176"/>
        <w:gridCol w:w="1176"/>
        <w:gridCol w:w="1176"/>
        <w:gridCol w:w="1176"/>
        <w:gridCol w:w="1433"/>
      </w:tblGrid>
      <w:tr w:rsidR="00045AF2">
        <w:trPr>
          <w:gridAfter w:val="1"/>
          <w:wAfter w:w="1433" w:type="dxa"/>
        </w:trPr>
        <w:tc>
          <w:tcPr>
            <w:tcW w:w="2776" w:type="dxa"/>
          </w:tcPr>
          <w:p w:rsidR="00045AF2" w:rsidRDefault="009966A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Proovi number</w:t>
            </w:r>
          </w:p>
        </w:tc>
        <w:tc>
          <w:tcPr>
            <w:tcW w:w="1176" w:type="dxa"/>
          </w:tcPr>
          <w:p w:rsidR="00045AF2" w:rsidRDefault="009966AE">
            <w:pPr>
              <w:spacing w:line="240" w:lineRule="auto"/>
              <w:rPr>
                <w:b/>
              </w:rPr>
            </w:pPr>
            <w:r>
              <w:rPr>
                <w:b/>
              </w:rPr>
              <w:t>1. proov</w:t>
            </w:r>
          </w:p>
        </w:tc>
        <w:tc>
          <w:tcPr>
            <w:tcW w:w="1176" w:type="dxa"/>
          </w:tcPr>
          <w:p w:rsidR="00045AF2" w:rsidRDefault="009966AE">
            <w:pPr>
              <w:spacing w:line="240" w:lineRule="auto"/>
              <w:rPr>
                <w:b/>
              </w:rPr>
            </w:pPr>
            <w:r>
              <w:rPr>
                <w:b/>
              </w:rPr>
              <w:t>2. proov</w:t>
            </w:r>
          </w:p>
        </w:tc>
        <w:tc>
          <w:tcPr>
            <w:tcW w:w="1176" w:type="dxa"/>
          </w:tcPr>
          <w:p w:rsidR="00045AF2" w:rsidRDefault="009966AE">
            <w:pPr>
              <w:spacing w:line="240" w:lineRule="auto"/>
              <w:rPr>
                <w:b/>
              </w:rPr>
            </w:pPr>
            <w:r>
              <w:rPr>
                <w:b/>
              </w:rPr>
              <w:t>3. proov</w:t>
            </w:r>
          </w:p>
        </w:tc>
        <w:tc>
          <w:tcPr>
            <w:tcW w:w="1176" w:type="dxa"/>
          </w:tcPr>
          <w:p w:rsidR="00045AF2" w:rsidRDefault="009966AE">
            <w:pPr>
              <w:spacing w:line="240" w:lineRule="auto"/>
              <w:rPr>
                <w:b/>
              </w:rPr>
            </w:pPr>
            <w:r>
              <w:rPr>
                <w:b/>
              </w:rPr>
              <w:t>4. proov</w:t>
            </w:r>
          </w:p>
        </w:tc>
      </w:tr>
      <w:tr w:rsidR="00045AF2">
        <w:trPr>
          <w:gridAfter w:val="1"/>
          <w:wAfter w:w="1433" w:type="dxa"/>
        </w:trPr>
        <w:tc>
          <w:tcPr>
            <w:tcW w:w="2776" w:type="dxa"/>
          </w:tcPr>
          <w:p w:rsidR="00045AF2" w:rsidRDefault="009966AE">
            <w:pPr>
              <w:spacing w:before="240" w:after="240" w:line="240" w:lineRule="auto"/>
              <w:jc w:val="left"/>
            </w:pPr>
            <w:r>
              <w:t>Lahuse algnivoo büretis</w:t>
            </w: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</w:tr>
      <w:tr w:rsidR="00045AF2">
        <w:trPr>
          <w:gridAfter w:val="1"/>
          <w:wAfter w:w="1433" w:type="dxa"/>
          <w:trHeight w:val="516"/>
        </w:trPr>
        <w:tc>
          <w:tcPr>
            <w:tcW w:w="2776" w:type="dxa"/>
            <w:vMerge w:val="restart"/>
          </w:tcPr>
          <w:p w:rsidR="00045AF2" w:rsidRDefault="009966AE">
            <w:pPr>
              <w:spacing w:before="240" w:after="240" w:line="240" w:lineRule="auto"/>
              <w:jc w:val="left"/>
            </w:pPr>
            <w:r>
              <w:t>Lahuse lõppnivoo büretis</w:t>
            </w:r>
          </w:p>
        </w:tc>
        <w:tc>
          <w:tcPr>
            <w:tcW w:w="1176" w:type="dxa"/>
            <w:vMerge w:val="restart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  <w:vMerge w:val="restart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  <w:vMerge w:val="restart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  <w:vMerge w:val="restart"/>
          </w:tcPr>
          <w:p w:rsidR="00045AF2" w:rsidRDefault="00045AF2">
            <w:pPr>
              <w:spacing w:before="240" w:after="240" w:line="240" w:lineRule="auto"/>
            </w:pPr>
          </w:p>
        </w:tc>
      </w:tr>
      <w:tr w:rsidR="00045AF2">
        <w:trPr>
          <w:trHeight w:val="60"/>
        </w:trPr>
        <w:tc>
          <w:tcPr>
            <w:tcW w:w="2776" w:type="dxa"/>
            <w:vMerge/>
          </w:tcPr>
          <w:p w:rsidR="00045AF2" w:rsidRDefault="0004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76" w:type="dxa"/>
            <w:vMerge/>
          </w:tcPr>
          <w:p w:rsidR="00045AF2" w:rsidRDefault="0004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76" w:type="dxa"/>
            <w:vMerge/>
          </w:tcPr>
          <w:p w:rsidR="00045AF2" w:rsidRDefault="0004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76" w:type="dxa"/>
            <w:vMerge/>
          </w:tcPr>
          <w:p w:rsidR="00045AF2" w:rsidRDefault="0004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76" w:type="dxa"/>
            <w:vMerge/>
          </w:tcPr>
          <w:p w:rsidR="00045AF2" w:rsidRDefault="0004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33" w:type="dxa"/>
            <w:shd w:val="clear" w:color="auto" w:fill="auto"/>
          </w:tcPr>
          <w:p w:rsidR="00045AF2" w:rsidRDefault="009966AE">
            <w:pPr>
              <w:spacing w:line="240" w:lineRule="auto"/>
              <w:jc w:val="center"/>
            </w:pPr>
            <w:r>
              <w:rPr>
                <w:b/>
              </w:rPr>
              <w:t>Keskmine</w:t>
            </w:r>
          </w:p>
        </w:tc>
      </w:tr>
      <w:tr w:rsidR="00045AF2">
        <w:tc>
          <w:tcPr>
            <w:tcW w:w="2776" w:type="dxa"/>
          </w:tcPr>
          <w:p w:rsidR="00045AF2" w:rsidRDefault="009966AE">
            <w:pPr>
              <w:spacing w:before="240" w:after="240" w:line="240" w:lineRule="auto"/>
              <w:jc w:val="left"/>
            </w:pPr>
            <w:r>
              <w:t>Kulunud NaOH ruumala</w:t>
            </w: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176" w:type="dxa"/>
          </w:tcPr>
          <w:p w:rsidR="00045AF2" w:rsidRDefault="00045AF2">
            <w:pPr>
              <w:spacing w:before="240" w:after="240" w:line="240" w:lineRule="auto"/>
            </w:pPr>
          </w:p>
        </w:tc>
        <w:tc>
          <w:tcPr>
            <w:tcW w:w="1433" w:type="dxa"/>
          </w:tcPr>
          <w:p w:rsidR="00045AF2" w:rsidRDefault="00045AF2">
            <w:pPr>
              <w:spacing w:before="240" w:after="240" w:line="240" w:lineRule="auto"/>
            </w:pPr>
          </w:p>
        </w:tc>
      </w:tr>
    </w:tbl>
    <w:p w:rsidR="00045AF2" w:rsidRDefault="00045AF2">
      <w:pPr>
        <w:spacing w:line="240" w:lineRule="auto"/>
        <w:rPr>
          <w:b/>
        </w:rPr>
      </w:pPr>
    </w:p>
    <w:p w:rsidR="00045AF2" w:rsidRDefault="009966AE">
      <w:pPr>
        <w:spacing w:line="240" w:lineRule="auto"/>
        <w:rPr>
          <w:b/>
        </w:rPr>
      </w:pPr>
      <w:r>
        <w:rPr>
          <w:b/>
        </w:rPr>
        <w:t>ARVUTUSED</w:t>
      </w:r>
    </w:p>
    <w:p w:rsidR="00045AF2" w:rsidRDefault="009966AE">
      <w:pPr>
        <w:numPr>
          <w:ilvl w:val="0"/>
          <w:numId w:val="1"/>
        </w:numPr>
        <w:spacing w:before="120" w:line="240" w:lineRule="auto"/>
      </w:pPr>
      <w:r>
        <w:t>Koostage ja tasakaalustage väävelhappe ja naatriumhüdroksiidi vahelise keemilise reaktsiooni võrrand.</w:t>
      </w:r>
    </w:p>
    <w:p w:rsidR="00045AF2" w:rsidRDefault="00045AF2">
      <w:pPr>
        <w:spacing w:before="240" w:line="240" w:lineRule="auto"/>
      </w:pPr>
    </w:p>
    <w:p w:rsidR="00045AF2" w:rsidRDefault="009966AE">
      <w:pPr>
        <w:numPr>
          <w:ilvl w:val="0"/>
          <w:numId w:val="1"/>
        </w:numPr>
        <w:spacing w:before="120" w:line="240" w:lineRule="auto"/>
      </w:pPr>
      <w:r>
        <w:t>Täpselt 1 liiter kasutatud NaOH lahust sisaldab ……… mol NaOH. Mitu mooli NaOH on lahuses, mis kulus Teil ühe proovi väävelhappe lahuse neutraliseerimisek</w:t>
      </w:r>
      <w:r>
        <w:t>s?</w:t>
      </w:r>
    </w:p>
    <w:p w:rsidR="00045AF2" w:rsidRDefault="00045AF2">
      <w:pPr>
        <w:spacing w:before="240" w:line="240" w:lineRule="auto"/>
        <w:ind w:left="360"/>
      </w:pPr>
    </w:p>
    <w:p w:rsidR="00045AF2" w:rsidRDefault="009966AE">
      <w:pPr>
        <w:numPr>
          <w:ilvl w:val="0"/>
          <w:numId w:val="1"/>
        </w:numPr>
        <w:spacing w:before="120" w:line="240" w:lineRule="auto"/>
      </w:pPr>
      <w:r>
        <w:t>Mitu mooli väävelhapet on seega ühes proovis?</w:t>
      </w:r>
    </w:p>
    <w:p w:rsidR="00045AF2" w:rsidRDefault="00045AF2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720" w:hanging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045AF2" w:rsidRDefault="009966AE">
      <w:pPr>
        <w:numPr>
          <w:ilvl w:val="0"/>
          <w:numId w:val="1"/>
        </w:numPr>
        <w:spacing w:before="120" w:line="240" w:lineRule="auto"/>
      </w:pPr>
      <w:r>
        <w:t>Arvutage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mass ühes proovis.</w:t>
      </w:r>
    </w:p>
    <w:p w:rsidR="00045AF2" w:rsidRDefault="00045AF2">
      <w:pPr>
        <w:spacing w:before="120" w:line="259" w:lineRule="auto"/>
        <w:rPr>
          <w:b/>
        </w:rPr>
      </w:pPr>
    </w:p>
    <w:sectPr w:rsidR="00045AF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AE" w:rsidRDefault="009966AE">
      <w:pPr>
        <w:spacing w:line="240" w:lineRule="auto"/>
      </w:pPr>
      <w:r>
        <w:separator/>
      </w:r>
    </w:p>
  </w:endnote>
  <w:endnote w:type="continuationSeparator" w:id="0">
    <w:p w:rsidR="009966AE" w:rsidRDefault="00996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2" w:rsidRDefault="009966AE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  <w:lang w:val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5AF2" w:rsidRDefault="009966AE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:rsidR="00045AF2" w:rsidRDefault="009966AE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045AF2" w:rsidRDefault="009966AE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  <w:p w:rsidR="00045AF2" w:rsidRDefault="00045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AE" w:rsidRDefault="009966AE">
      <w:pPr>
        <w:spacing w:line="240" w:lineRule="auto"/>
      </w:pPr>
      <w:r>
        <w:separator/>
      </w:r>
    </w:p>
  </w:footnote>
  <w:footnote w:type="continuationSeparator" w:id="0">
    <w:p w:rsidR="009966AE" w:rsidRDefault="00996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F4F"/>
    <w:multiLevelType w:val="multilevel"/>
    <w:tmpl w:val="C3FEA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A0F7B"/>
    <w:multiLevelType w:val="multilevel"/>
    <w:tmpl w:val="27648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F2"/>
    <w:rsid w:val="00045AF2"/>
    <w:rsid w:val="007D1FE2"/>
    <w:rsid w:val="009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A46F"/>
  <w15:docId w15:val="{A2C505CC-BA02-4D8E-9A28-0258B0A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i-FI" w:eastAsia="et-E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1472"/>
  </w:style>
  <w:style w:type="paragraph" w:styleId="Pealkiri1">
    <w:name w:val="heading 1"/>
    <w:basedOn w:val="Normaallaad"/>
    <w:next w:val="Normaallaad"/>
    <w:link w:val="Pealkiri1Mrk"/>
    <w:uiPriority w:val="9"/>
    <w:qFormat/>
    <w:rsid w:val="0049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914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914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491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49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491472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491472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"/>
    <w:qFormat/>
    <w:rsid w:val="00491472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4914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49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Vrvilineloendrhk11">
    <w:name w:val="Värviline loend – rõhk 11"/>
    <w:basedOn w:val="Normaallaad"/>
    <w:uiPriority w:val="34"/>
    <w:qFormat/>
    <w:rsid w:val="0049147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7B3D"/>
  </w:style>
  <w:style w:type="paragraph" w:styleId="Jalus">
    <w:name w:val="footer"/>
    <w:basedOn w:val="Normaallaad"/>
    <w:link w:val="Jalu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7B3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7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67B3D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link w:val="Pealkiri1"/>
    <w:uiPriority w:val="9"/>
    <w:rsid w:val="004914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Pealkiri2Mrk">
    <w:name w:val="Pealkiri 2 Märk"/>
    <w:link w:val="Pealkiri2"/>
    <w:uiPriority w:val="9"/>
    <w:semiHidden/>
    <w:rsid w:val="004914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Pealkiri3Mrk">
    <w:name w:val="Pealkiri 3 Märk"/>
    <w:link w:val="Pealkiri3"/>
    <w:uiPriority w:val="9"/>
    <w:semiHidden/>
    <w:rsid w:val="00491472"/>
    <w:rPr>
      <w:rFonts w:ascii="Cambria" w:eastAsia="Times New Roman" w:hAnsi="Cambria"/>
      <w:b/>
      <w:bCs/>
      <w:sz w:val="26"/>
      <w:szCs w:val="26"/>
    </w:rPr>
  </w:style>
  <w:style w:type="character" w:customStyle="1" w:styleId="Pealkiri4Mrk">
    <w:name w:val="Pealkiri 4 Märk"/>
    <w:link w:val="Pealkiri4"/>
    <w:uiPriority w:val="9"/>
    <w:semiHidden/>
    <w:rsid w:val="00491472"/>
    <w:rPr>
      <w:b/>
      <w:bCs/>
      <w:sz w:val="28"/>
      <w:szCs w:val="28"/>
    </w:rPr>
  </w:style>
  <w:style w:type="character" w:customStyle="1" w:styleId="Pealkiri5Mrk">
    <w:name w:val="Pealkiri 5 Märk"/>
    <w:link w:val="Pealkiri5"/>
    <w:uiPriority w:val="9"/>
    <w:semiHidden/>
    <w:rsid w:val="00491472"/>
    <w:rPr>
      <w:b/>
      <w:bCs/>
      <w:i/>
      <w:iCs/>
      <w:sz w:val="26"/>
      <w:szCs w:val="26"/>
    </w:rPr>
  </w:style>
  <w:style w:type="character" w:customStyle="1" w:styleId="Pealkiri6Mrk">
    <w:name w:val="Pealkiri 6 Märk"/>
    <w:link w:val="Pealkiri6"/>
    <w:uiPriority w:val="9"/>
    <w:semiHidden/>
    <w:rsid w:val="00491472"/>
    <w:rPr>
      <w:b/>
      <w:bCs/>
    </w:rPr>
  </w:style>
  <w:style w:type="character" w:customStyle="1" w:styleId="Pealkiri7Mrk">
    <w:name w:val="Pealkiri 7 Märk"/>
    <w:link w:val="Pealkiri7"/>
    <w:uiPriority w:val="9"/>
    <w:semiHidden/>
    <w:rsid w:val="00491472"/>
    <w:rPr>
      <w:sz w:val="24"/>
      <w:szCs w:val="24"/>
    </w:rPr>
  </w:style>
  <w:style w:type="character" w:customStyle="1" w:styleId="Pealkiri8Mrk">
    <w:name w:val="Pealkiri 8 Märk"/>
    <w:link w:val="Pealkiri8"/>
    <w:uiPriority w:val="9"/>
    <w:semiHidden/>
    <w:rsid w:val="00491472"/>
    <w:rPr>
      <w:i/>
      <w:iCs/>
      <w:sz w:val="24"/>
      <w:szCs w:val="24"/>
    </w:rPr>
  </w:style>
  <w:style w:type="character" w:customStyle="1" w:styleId="Pealkiri9Mrk">
    <w:name w:val="Pealkiri 9 Märk"/>
    <w:link w:val="Pealkiri9"/>
    <w:uiPriority w:val="9"/>
    <w:semiHidden/>
    <w:rsid w:val="00491472"/>
    <w:rPr>
      <w:rFonts w:ascii="Cambria" w:eastAsia="Times New Roman" w:hAnsi="Cambria"/>
    </w:rPr>
  </w:style>
  <w:style w:type="paragraph" w:styleId="Pealdis">
    <w:name w:val="caption"/>
    <w:basedOn w:val="Normaallaad"/>
    <w:next w:val="Normaallaad"/>
    <w:uiPriority w:val="35"/>
    <w:qFormat/>
    <w:rsid w:val="00491472"/>
    <w:rPr>
      <w:b/>
      <w:bCs/>
      <w:sz w:val="18"/>
      <w:szCs w:val="18"/>
    </w:rPr>
  </w:style>
  <w:style w:type="character" w:customStyle="1" w:styleId="PealkiriMrk">
    <w:name w:val="Pealkiri Märk"/>
    <w:link w:val="Pealkiri"/>
    <w:uiPriority w:val="10"/>
    <w:rsid w:val="00491472"/>
    <w:rPr>
      <w:rFonts w:ascii="Cambria" w:eastAsia="Times New Roman" w:hAnsi="Cambria"/>
      <w:b/>
      <w:bCs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pPr>
      <w:spacing w:after="60"/>
      <w:jc w:val="center"/>
    </w:pPr>
    <w:rPr>
      <w:rFonts w:ascii="Cambria" w:eastAsia="Cambria" w:hAnsi="Cambria" w:cs="Cambria"/>
    </w:rPr>
  </w:style>
  <w:style w:type="character" w:customStyle="1" w:styleId="AlapealkiriMrk">
    <w:name w:val="Alapealkiri Märk"/>
    <w:link w:val="Alapealkiri"/>
    <w:uiPriority w:val="11"/>
    <w:rsid w:val="00491472"/>
    <w:rPr>
      <w:rFonts w:ascii="Cambria" w:eastAsia="Times New Roman" w:hAnsi="Cambria"/>
      <w:sz w:val="24"/>
      <w:szCs w:val="24"/>
    </w:rPr>
  </w:style>
  <w:style w:type="character" w:styleId="Tugev">
    <w:name w:val="Strong"/>
    <w:uiPriority w:val="22"/>
    <w:qFormat/>
    <w:rsid w:val="00491472"/>
    <w:rPr>
      <w:b/>
      <w:bCs/>
    </w:rPr>
  </w:style>
  <w:style w:type="character" w:styleId="Rhutus">
    <w:name w:val="Emphasis"/>
    <w:uiPriority w:val="20"/>
    <w:qFormat/>
    <w:rsid w:val="00491472"/>
    <w:rPr>
      <w:rFonts w:ascii="Calibri" w:hAnsi="Calibri"/>
      <w:b/>
      <w:i/>
      <w:iCs/>
    </w:rPr>
  </w:style>
  <w:style w:type="paragraph" w:customStyle="1" w:styleId="Keskminekoordinaatvrk21">
    <w:name w:val="Keskmine koordinaatvõrk 21"/>
    <w:basedOn w:val="Normaallaad"/>
    <w:link w:val="Keskminekoordinaatvrk2Mrk"/>
    <w:uiPriority w:val="1"/>
    <w:qFormat/>
    <w:rsid w:val="00491472"/>
    <w:rPr>
      <w:szCs w:val="32"/>
    </w:rPr>
  </w:style>
  <w:style w:type="character" w:customStyle="1" w:styleId="Keskminekoordinaatvrk2Mrk">
    <w:name w:val="Keskmine koordinaatvõrk 2 Märk"/>
    <w:link w:val="Keskminekoordinaatvrk21"/>
    <w:uiPriority w:val="1"/>
    <w:rsid w:val="00491472"/>
    <w:rPr>
      <w:sz w:val="24"/>
      <w:szCs w:val="32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491472"/>
    <w:rPr>
      <w:i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491472"/>
    <w:rPr>
      <w:i/>
      <w:sz w:val="24"/>
      <w:szCs w:val="24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491472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link w:val="Helevarjustusrhk21"/>
    <w:uiPriority w:val="30"/>
    <w:rsid w:val="00491472"/>
    <w:rPr>
      <w:b/>
      <w:i/>
      <w:sz w:val="24"/>
    </w:rPr>
  </w:style>
  <w:style w:type="character" w:customStyle="1" w:styleId="Tavatabel31">
    <w:name w:val="Tavatabel 31"/>
    <w:uiPriority w:val="19"/>
    <w:qFormat/>
    <w:rsid w:val="00491472"/>
    <w:rPr>
      <w:i/>
      <w:color w:val="5A5A5A"/>
    </w:rPr>
  </w:style>
  <w:style w:type="character" w:customStyle="1" w:styleId="Tavatabel41">
    <w:name w:val="Tavatabel 41"/>
    <w:uiPriority w:val="21"/>
    <w:qFormat/>
    <w:rsid w:val="00491472"/>
    <w:rPr>
      <w:b/>
      <w:i/>
      <w:sz w:val="24"/>
      <w:szCs w:val="24"/>
      <w:u w:val="single"/>
    </w:rPr>
  </w:style>
  <w:style w:type="character" w:customStyle="1" w:styleId="Tavatabel51">
    <w:name w:val="Tavatabel 51"/>
    <w:uiPriority w:val="31"/>
    <w:qFormat/>
    <w:rsid w:val="00491472"/>
    <w:rPr>
      <w:sz w:val="24"/>
      <w:szCs w:val="24"/>
      <w:u w:val="single"/>
    </w:rPr>
  </w:style>
  <w:style w:type="character" w:customStyle="1" w:styleId="Helekontuurtabel1">
    <w:name w:val="Hele kontuurtabel1"/>
    <w:uiPriority w:val="32"/>
    <w:qFormat/>
    <w:rsid w:val="00491472"/>
    <w:rPr>
      <w:b/>
      <w:sz w:val="24"/>
      <w:u w:val="single"/>
    </w:rPr>
  </w:style>
  <w:style w:type="character" w:customStyle="1" w:styleId="Heleruuttabel11">
    <w:name w:val="Hele ruuttabel 11"/>
    <w:uiPriority w:val="33"/>
    <w:qFormat/>
    <w:rsid w:val="00491472"/>
    <w:rPr>
      <w:rFonts w:ascii="Cambria" w:eastAsia="Times New Roman" w:hAnsi="Cambria"/>
      <w:b/>
      <w:i/>
      <w:sz w:val="24"/>
      <w:szCs w:val="24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491472"/>
    <w:pPr>
      <w:outlineLvl w:val="9"/>
    </w:pPr>
  </w:style>
  <w:style w:type="character" w:customStyle="1" w:styleId="apple-converted-space">
    <w:name w:val="apple-converted-space"/>
    <w:rsid w:val="002C2EBC"/>
  </w:style>
  <w:style w:type="paragraph" w:styleId="Normaallaadveeb">
    <w:name w:val="Normal (Web)"/>
    <w:basedOn w:val="Normaallaad"/>
    <w:uiPriority w:val="99"/>
    <w:semiHidden/>
    <w:unhideWhenUsed/>
    <w:rsid w:val="002C2EBC"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uiPriority w:val="99"/>
    <w:unhideWhenUsed/>
    <w:rsid w:val="002C2EBC"/>
    <w:rPr>
      <w:color w:val="0000FF"/>
      <w:u w:val="single"/>
    </w:rPr>
  </w:style>
  <w:style w:type="paragraph" w:customStyle="1" w:styleId="Default">
    <w:name w:val="Default"/>
    <w:uiPriority w:val="99"/>
    <w:rsid w:val="001E554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st1">
    <w:name w:val="st1"/>
    <w:rsid w:val="00512F23"/>
  </w:style>
  <w:style w:type="table" w:styleId="Kontuurtabel">
    <w:name w:val="Table Grid"/>
    <w:basedOn w:val="Normaaltabel"/>
    <w:uiPriority w:val="59"/>
    <w:rsid w:val="00653D9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E11AB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RW3yqu9+UDg/S2bj9r7i3+qFg==">AMUW2mWVM5XM4GiivdWWUYZTUyi4ecRCPhCppZbCdDDqVAgzVasp+O/GNd2TavrFsfk9QjiQQFf19hhmPkpYy3WYQiiqJ/Nq1ijGuDEJiozlypY3S5uO/Fq+l1h9ta+zdWpAWn8F0itj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2</cp:revision>
  <dcterms:created xsi:type="dcterms:W3CDTF">2019-04-06T19:56:00Z</dcterms:created>
  <dcterms:modified xsi:type="dcterms:W3CDTF">2021-09-18T13:22:00Z</dcterms:modified>
</cp:coreProperties>
</file>