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97" w:rsidRDefault="00530AD6" w:rsidP="006C5D69">
      <w:pPr>
        <w:jc w:val="center"/>
        <w:rPr>
          <w:b/>
          <w:sz w:val="22"/>
          <w:szCs w:val="22"/>
        </w:rPr>
      </w:pPr>
      <w:bookmarkStart w:id="0" w:name="_GoBack"/>
      <w:r w:rsidRPr="006C5D69">
        <w:rPr>
          <w:b/>
          <w:sz w:val="28"/>
          <w:szCs w:val="28"/>
        </w:rPr>
        <w:t>Kaldpinnal liikuva vankri koordinaadi, nihke, kiiruse ja kiirenduse graafikute uurimine</w:t>
      </w:r>
    </w:p>
    <w:bookmarkEnd w:id="0"/>
    <w:p w:rsidR="00172A97" w:rsidRDefault="00172A97">
      <w:pPr>
        <w:rPr>
          <w:sz w:val="22"/>
          <w:szCs w:val="22"/>
        </w:rPr>
      </w:pPr>
    </w:p>
    <w:p w:rsidR="00172A97" w:rsidRDefault="00530AD6">
      <w:pPr>
        <w:shd w:val="clear" w:color="auto" w:fill="FFFFFF"/>
        <w:spacing w:before="120"/>
        <w:jc w:val="both"/>
      </w:pPr>
      <w:r>
        <w:rPr>
          <w:b/>
        </w:rPr>
        <w:t>Vanuseaste:</w:t>
      </w:r>
      <w:r>
        <w:t xml:space="preserve"> gümnaasium</w:t>
      </w:r>
    </w:p>
    <w:p w:rsidR="00172A97" w:rsidRDefault="00530AD6">
      <w:pPr>
        <w:shd w:val="clear" w:color="auto" w:fill="FFFFFF"/>
        <w:spacing w:before="120"/>
        <w:jc w:val="both"/>
      </w:pPr>
      <w:r>
        <w:rPr>
          <w:b/>
        </w:rPr>
        <w:t xml:space="preserve">Materjali tüüp: </w:t>
      </w:r>
      <w:r w:rsidR="00F64823">
        <w:t>õpilase tööleht</w:t>
      </w:r>
    </w:p>
    <w:p w:rsidR="00172A97" w:rsidRDefault="00530AD6">
      <w:pPr>
        <w:shd w:val="clear" w:color="auto" w:fill="FFFFFF"/>
        <w:spacing w:before="120"/>
        <w:jc w:val="both"/>
      </w:pPr>
      <w:r>
        <w:rPr>
          <w:b/>
        </w:rPr>
        <w:t xml:space="preserve">Eesmärk: </w:t>
      </w:r>
      <w:r>
        <w:t>uurida kaldrelsil liikuvat vankrit iseloomustavaid füüsikalisi suuruseid (nihe, kiirus, kiirendus) ja nende muutumist ajas ning määrata liikumise liik.</w:t>
      </w:r>
    </w:p>
    <w:p w:rsidR="00172A97" w:rsidRDefault="00530AD6">
      <w:pPr>
        <w:shd w:val="clear" w:color="auto" w:fill="FFFFFF"/>
        <w:spacing w:before="120"/>
        <w:jc w:val="both"/>
        <w:rPr>
          <w:b/>
        </w:rPr>
      </w:pPr>
      <w:r>
        <w:rPr>
          <w:b/>
        </w:rPr>
        <w:t>Seos õpitulemustega:</w:t>
      </w:r>
    </w:p>
    <w:p w:rsidR="00172A97" w:rsidRDefault="00530AD6">
      <w:pPr>
        <w:numPr>
          <w:ilvl w:val="0"/>
          <w:numId w:val="1"/>
        </w:numPr>
        <w:jc w:val="both"/>
      </w:pPr>
      <w:bookmarkStart w:id="1" w:name="_heading=h.gjdgxs" w:colFirst="0" w:colLast="0"/>
      <w:bookmarkEnd w:id="1"/>
      <w:r>
        <w:rPr>
          <w:rFonts w:ascii="Times" w:eastAsia="Times" w:hAnsi="Times" w:cs="Times"/>
        </w:rPr>
        <w:t>teab mehaanika põhiülesannet (keha koordinaatide määramine suvalisel ajahetkel ja etteantud tingimustel);</w:t>
      </w:r>
    </w:p>
    <w:p w:rsidR="00172A97" w:rsidRDefault="00530AD6">
      <w:pPr>
        <w:numPr>
          <w:ilvl w:val="0"/>
          <w:numId w:val="1"/>
        </w:numPr>
        <w:jc w:val="both"/>
      </w:pPr>
      <w:r>
        <w:rPr>
          <w:rFonts w:ascii="Times" w:eastAsia="Times" w:hAnsi="Times" w:cs="Times"/>
        </w:rPr>
        <w:t xml:space="preserve">nimetab nähtuste </w:t>
      </w:r>
      <w:r>
        <w:rPr>
          <w:rFonts w:ascii="Times" w:eastAsia="Times" w:hAnsi="Times" w:cs="Times"/>
          <w:i/>
        </w:rPr>
        <w:t>ühtlaselt kiirenev sirgjooneline liikumine</w:t>
      </w:r>
      <w:r>
        <w:rPr>
          <w:rFonts w:ascii="Times" w:eastAsia="Times" w:hAnsi="Times" w:cs="Times"/>
        </w:rPr>
        <w:t xml:space="preserve"> ja </w:t>
      </w:r>
      <w:r>
        <w:rPr>
          <w:rFonts w:ascii="Times" w:eastAsia="Times" w:hAnsi="Times" w:cs="Times"/>
          <w:i/>
        </w:rPr>
        <w:t xml:space="preserve">ühtlaselt aeglustuv sirgjooneline liikumine </w:t>
      </w:r>
      <w:r>
        <w:rPr>
          <w:rFonts w:ascii="Times" w:eastAsia="Times" w:hAnsi="Times" w:cs="Times"/>
        </w:rPr>
        <w:t>olulisi tunnuseid, oskab tuua näiteid;</w:t>
      </w:r>
    </w:p>
    <w:p w:rsidR="00172A97" w:rsidRDefault="00530AD6">
      <w:pPr>
        <w:numPr>
          <w:ilvl w:val="0"/>
          <w:numId w:val="1"/>
        </w:numPr>
        <w:jc w:val="both"/>
      </w:pPr>
      <w:r>
        <w:rPr>
          <w:rFonts w:ascii="Times" w:eastAsia="Times" w:hAnsi="Times" w:cs="Times"/>
        </w:rPr>
        <w:t xml:space="preserve">seletab füüsikaliste suuruste </w:t>
      </w:r>
      <w:r>
        <w:rPr>
          <w:rFonts w:ascii="Times" w:eastAsia="Times" w:hAnsi="Times" w:cs="Times"/>
          <w:i/>
        </w:rPr>
        <w:t>kiirus</w:t>
      </w:r>
      <w:r>
        <w:rPr>
          <w:rFonts w:ascii="Times" w:eastAsia="Times" w:hAnsi="Times" w:cs="Times"/>
        </w:rPr>
        <w:t xml:space="preserve">, </w:t>
      </w:r>
      <w:r>
        <w:rPr>
          <w:rFonts w:ascii="Times" w:eastAsia="Times" w:hAnsi="Times" w:cs="Times"/>
          <w:i/>
        </w:rPr>
        <w:t>kiirendus</w:t>
      </w:r>
      <w:r>
        <w:rPr>
          <w:rFonts w:ascii="Times" w:eastAsia="Times" w:hAnsi="Times" w:cs="Times"/>
        </w:rPr>
        <w:t xml:space="preserve">, </w:t>
      </w:r>
      <w:r>
        <w:rPr>
          <w:rFonts w:ascii="Times" w:eastAsia="Times" w:hAnsi="Times" w:cs="Times"/>
          <w:i/>
        </w:rPr>
        <w:t xml:space="preserve">teepikkus </w:t>
      </w:r>
      <w:r>
        <w:rPr>
          <w:rFonts w:ascii="Times" w:eastAsia="Times" w:hAnsi="Times" w:cs="Times"/>
        </w:rPr>
        <w:t xml:space="preserve">ja </w:t>
      </w:r>
      <w:r>
        <w:rPr>
          <w:rFonts w:ascii="Times" w:eastAsia="Times" w:hAnsi="Times" w:cs="Times"/>
          <w:i/>
        </w:rPr>
        <w:t xml:space="preserve">nihe </w:t>
      </w:r>
      <w:r>
        <w:rPr>
          <w:rFonts w:ascii="Times" w:eastAsia="Times" w:hAnsi="Times" w:cs="Times"/>
        </w:rPr>
        <w:t>tähendust, mõõtühikuid ning nende suuruste mõõtmise või määramise viise;</w:t>
      </w:r>
    </w:p>
    <w:p w:rsidR="00172A97" w:rsidRDefault="00530AD6">
      <w:pPr>
        <w:numPr>
          <w:ilvl w:val="0"/>
          <w:numId w:val="1"/>
        </w:numPr>
        <w:jc w:val="both"/>
      </w:pPr>
      <w:r>
        <w:rPr>
          <w:rFonts w:ascii="Times" w:eastAsia="Times" w:hAnsi="Times" w:cs="Times"/>
        </w:rPr>
        <w:t xml:space="preserve">rakendab ühtlaselt muutuva liikumise kirjeldamiseks liikumisvõrrandit </w:t>
      </w:r>
      <m:oMath>
        <m:r>
          <w:rPr>
            <w:rFonts w:ascii="Cambria Math" w:eastAsia="Cambria Math" w:hAnsi="Cambria Math" w:cs="Cambria Math"/>
          </w:rPr>
          <m:t xml:space="preserve">s= </m:t>
        </m:r>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0</m:t>
            </m:r>
          </m:sub>
        </m:sSub>
        <m:r>
          <w:rPr>
            <w:rFonts w:ascii="Cambria Math" w:eastAsia="Cambria Math" w:hAnsi="Cambria Math" w:cs="Cambria Math"/>
          </w:rPr>
          <m:t xml:space="preserve">t ± </m:t>
        </m:r>
        <m:f>
          <m:fPr>
            <m:ctrlPr>
              <w:rPr>
                <w:rFonts w:ascii="Cambria Math" w:eastAsia="Cambria Math" w:hAnsi="Cambria Math" w:cs="Cambria Math"/>
              </w:rPr>
            </m:ctrlPr>
          </m:fPr>
          <m:num>
            <m:r>
              <w:rPr>
                <w:rFonts w:ascii="Cambria Math" w:eastAsia="Cambria Math" w:hAnsi="Cambria Math" w:cs="Cambria Math"/>
              </w:rPr>
              <m:t>a</m:t>
            </m:r>
            <m:sSup>
              <m:sSupPr>
                <m:ctrlPr>
                  <w:rPr>
                    <w:rFonts w:ascii="Cambria Math" w:eastAsia="Cambria Math" w:hAnsi="Cambria Math" w:cs="Cambria Math"/>
                  </w:rPr>
                </m:ctrlPr>
              </m:sSupPr>
              <m:e>
                <m:r>
                  <w:rPr>
                    <w:rFonts w:ascii="Cambria Math" w:eastAsia="Cambria Math" w:hAnsi="Cambria Math" w:cs="Cambria Math"/>
                  </w:rPr>
                  <m:t>t</m:t>
                </m:r>
              </m:e>
              <m:sup>
                <m:r>
                  <w:rPr>
                    <w:rFonts w:ascii="Cambria Math" w:eastAsia="Cambria Math" w:hAnsi="Cambria Math" w:cs="Cambria Math"/>
                  </w:rPr>
                  <m:t>2</m:t>
                </m:r>
              </m:sup>
            </m:sSup>
          </m:num>
          <m:den>
            <m:r>
              <w:rPr>
                <w:rFonts w:ascii="Cambria Math" w:eastAsia="Cambria Math" w:hAnsi="Cambria Math" w:cs="Cambria Math"/>
              </w:rPr>
              <m:t>2</m:t>
            </m:r>
          </m:den>
        </m:f>
      </m:oMath>
      <w:r>
        <w:rPr>
          <w:rFonts w:ascii="Times" w:eastAsia="Times" w:hAnsi="Times" w:cs="Times"/>
        </w:rPr>
        <w:t xml:space="preserve"> ;</w:t>
      </w:r>
    </w:p>
    <w:p w:rsidR="00172A97" w:rsidRDefault="00530AD6">
      <w:pPr>
        <w:numPr>
          <w:ilvl w:val="0"/>
          <w:numId w:val="1"/>
        </w:numPr>
        <w:jc w:val="both"/>
      </w:pPr>
      <w:r>
        <w:t xml:space="preserve">rakendab ühtlaselt muutuva sirgjoonelise liikumise hetkkiiruse ja kiirenduse leidmiseks seost </w:t>
      </w:r>
      <m:oMath>
        <m:r>
          <w:rPr>
            <w:rFonts w:ascii="Cambria Math" w:eastAsia="Cambria Math" w:hAnsi="Cambria Math" w:cs="Cambria Math"/>
          </w:rPr>
          <m:t xml:space="preserve">v= </m:t>
        </m:r>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0</m:t>
            </m:r>
          </m:sub>
        </m:sSub>
        <m:r>
          <w:rPr>
            <w:rFonts w:ascii="Cambria Math" w:eastAsia="Cambria Math" w:hAnsi="Cambria Math" w:cs="Cambria Math"/>
          </w:rPr>
          <m:t>+at</m:t>
        </m:r>
      </m:oMath>
    </w:p>
    <w:p w:rsidR="00172A97" w:rsidRDefault="00530AD6">
      <w:pPr>
        <w:numPr>
          <w:ilvl w:val="0"/>
          <w:numId w:val="1"/>
        </w:numPr>
        <w:shd w:val="clear" w:color="auto" w:fill="FFFFFF"/>
        <w:jc w:val="both"/>
      </w:pPr>
      <w:r>
        <w:rPr>
          <w:rFonts w:ascii="Times" w:eastAsia="Times" w:hAnsi="Times" w:cs="Times"/>
        </w:rPr>
        <w:t>kujutab graafiliselt ja kirjeldab graafiku abil ühtlaselt muutuva sirgjoonelise liikumise kiiruse ning läbitud teepikkuse (nihke) sõltuvust ajast;</w:t>
      </w:r>
    </w:p>
    <w:p w:rsidR="00172A97" w:rsidRDefault="00530AD6">
      <w:pPr>
        <w:numPr>
          <w:ilvl w:val="0"/>
          <w:numId w:val="1"/>
        </w:numPr>
        <w:shd w:val="clear" w:color="auto" w:fill="FFFFFF"/>
        <w:jc w:val="both"/>
      </w:pPr>
      <w:r>
        <w:t>sooritab praktilise töö ühtlaselt kiirenevalt liikuva keha koordinaadi, kiiruse ja kiirenduse määramise kohta, uurides kuulikese veeremist rennis ja kasutades fotoväravaid ning andmehõiveseadet.</w:t>
      </w:r>
    </w:p>
    <w:p w:rsidR="00172A97" w:rsidRDefault="00530AD6">
      <w:pPr>
        <w:shd w:val="clear" w:color="auto" w:fill="FFFFFF"/>
        <w:jc w:val="both"/>
      </w:pPr>
      <w:r>
        <w:rPr>
          <w:b/>
        </w:rPr>
        <w:t xml:space="preserve">Põhimõisted: </w:t>
      </w:r>
      <w:r>
        <w:t>teepikkus, nihe, hetkkiirus, kiirendus.</w:t>
      </w:r>
    </w:p>
    <w:p w:rsidR="00172A97" w:rsidRDefault="00172A97">
      <w:pPr>
        <w:rPr>
          <w:sz w:val="22"/>
          <w:szCs w:val="22"/>
        </w:rPr>
      </w:pPr>
    </w:p>
    <w:p w:rsidR="00172A97" w:rsidRDefault="00172A97">
      <w:pPr>
        <w:rPr>
          <w:sz w:val="22"/>
          <w:szCs w:val="22"/>
        </w:rPr>
      </w:pPr>
    </w:p>
    <w:p w:rsidR="00172A97" w:rsidRDefault="00530AD6">
      <w:pPr>
        <w:rPr>
          <w:sz w:val="22"/>
          <w:szCs w:val="22"/>
        </w:rPr>
      </w:pPr>
      <w:r>
        <w:br w:type="page"/>
      </w:r>
    </w:p>
    <w:p w:rsidR="00172A97" w:rsidRDefault="00172A97">
      <w:pPr>
        <w:rPr>
          <w:sz w:val="22"/>
          <w:szCs w:val="22"/>
        </w:rPr>
      </w:pPr>
    </w:p>
    <w:p w:rsidR="00172A97" w:rsidRDefault="00530AD6">
      <w:pPr>
        <w:rPr>
          <w:sz w:val="22"/>
          <w:szCs w:val="22"/>
        </w:rPr>
      </w:pPr>
      <w:r>
        <w:rPr>
          <w:b/>
          <w:sz w:val="22"/>
          <w:szCs w:val="22"/>
        </w:rPr>
        <w:t xml:space="preserve">Töövahendid: </w:t>
      </w:r>
      <w:r>
        <w:rPr>
          <w:sz w:val="22"/>
          <w:szCs w:val="22"/>
        </w:rPr>
        <w:t>lõpupiirajaga relss jalgadel, nutivanker Go Direct, Vernier`i andmelugeja, stopper, joonlaud.</w:t>
      </w:r>
    </w:p>
    <w:p w:rsidR="00172A97" w:rsidRDefault="00172A97">
      <w:pPr>
        <w:rPr>
          <w:sz w:val="22"/>
          <w:szCs w:val="22"/>
        </w:rPr>
      </w:pPr>
    </w:p>
    <w:p w:rsidR="00172A97" w:rsidRDefault="00530AD6">
      <w:pPr>
        <w:jc w:val="center"/>
        <w:rPr>
          <w:b/>
          <w:sz w:val="22"/>
          <w:szCs w:val="22"/>
        </w:rPr>
      </w:pPr>
      <w:r>
        <w:rPr>
          <w:b/>
          <w:sz w:val="22"/>
          <w:szCs w:val="22"/>
        </w:rPr>
        <w:t>I OSA</w:t>
      </w:r>
    </w:p>
    <w:p w:rsidR="00172A97" w:rsidRDefault="00530AD6">
      <w:pPr>
        <w:rPr>
          <w:b/>
          <w:sz w:val="22"/>
          <w:szCs w:val="22"/>
        </w:rPr>
      </w:pPr>
      <w:r>
        <w:rPr>
          <w:b/>
          <w:sz w:val="22"/>
          <w:szCs w:val="22"/>
        </w:rPr>
        <w:t>Töö käik.</w:t>
      </w:r>
    </w:p>
    <w:p w:rsidR="00172A97" w:rsidRDefault="00530AD6">
      <w:pPr>
        <w:numPr>
          <w:ilvl w:val="0"/>
          <w:numId w:val="2"/>
        </w:numPr>
        <w:rPr>
          <w:sz w:val="22"/>
          <w:szCs w:val="22"/>
        </w:rPr>
      </w:pPr>
      <w:r>
        <w:rPr>
          <w:sz w:val="22"/>
          <w:szCs w:val="22"/>
        </w:rPr>
        <w:t>Mõõda joonlauaga relsi otste esialgsed kõrgused. Tekita lauale asetatud relsi relsile väike kalle. Langeta jalgade küljes olevate kruvide keeramisega lõpupiirajaga varustatud relsi ots 2,5 cm teisest relsi otsast madalamale. Kaldenurka ei tohi katseseeria vältel muuta!</w:t>
      </w:r>
    </w:p>
    <w:p w:rsidR="00172A97" w:rsidRDefault="00530AD6">
      <w:pPr>
        <w:numPr>
          <w:ilvl w:val="0"/>
          <w:numId w:val="2"/>
        </w:numPr>
        <w:rPr>
          <w:sz w:val="22"/>
          <w:szCs w:val="22"/>
        </w:rPr>
      </w:pPr>
      <w:r>
        <w:rPr>
          <w:sz w:val="22"/>
          <w:szCs w:val="22"/>
        </w:rPr>
        <w:t>Kinnita lõpupiiraja asendisse, kus selle pind oleks kohakuti relsi serval asetseva joonlaua jaotisega 115 cm.</w:t>
      </w:r>
    </w:p>
    <w:p w:rsidR="00172A97" w:rsidRDefault="00530AD6">
      <w:pPr>
        <w:numPr>
          <w:ilvl w:val="0"/>
          <w:numId w:val="2"/>
        </w:numPr>
        <w:rPr>
          <w:sz w:val="22"/>
          <w:szCs w:val="22"/>
        </w:rPr>
      </w:pPr>
      <w:r>
        <w:rPr>
          <w:sz w:val="22"/>
          <w:szCs w:val="22"/>
        </w:rPr>
        <w:t>Vanker tuleks veerema lasta (mitte tõugata) see ots ees, millest on väljutatud põrkeraud. Kui vanker asetada relsile nii, et selle põrkeraua ots oleks kohakuti relsi serval asetseva joonlaua jaotisega 20 cm, on vankri maksimaalse nihke pikkus piki relssi 95 cm.</w:t>
      </w:r>
    </w:p>
    <w:p w:rsidR="00172A97" w:rsidRDefault="00530AD6">
      <w:pPr>
        <w:numPr>
          <w:ilvl w:val="0"/>
          <w:numId w:val="2"/>
        </w:numPr>
        <w:rPr>
          <w:sz w:val="22"/>
          <w:szCs w:val="22"/>
        </w:rPr>
      </w:pPr>
      <w:r>
        <w:rPr>
          <w:sz w:val="22"/>
          <w:szCs w:val="22"/>
        </w:rPr>
        <w:t>Järgnevalt mõõdagi nihke sooritamise aeg. Selleks aseta vanker relsile punktis 3 kirjeldatud asendisse ja fikseeri aeg vankri veerema laskmise hetkest kuni põrkeni lõpupiirajaga. Kanna mõõtmistulemus tabelisse.</w:t>
      </w:r>
    </w:p>
    <w:p w:rsidR="00172A97" w:rsidRDefault="00530AD6">
      <w:pPr>
        <w:numPr>
          <w:ilvl w:val="0"/>
          <w:numId w:val="2"/>
        </w:numPr>
        <w:rPr>
          <w:sz w:val="22"/>
          <w:szCs w:val="22"/>
        </w:rPr>
      </w:pPr>
      <w:r>
        <w:rPr>
          <w:sz w:val="22"/>
          <w:szCs w:val="22"/>
        </w:rPr>
        <w:t>Kuna katses esineb katsetajast tingitud juhuslik mõõtemääramatus (reaktsiooniaeg!), mõõda aega sama nihke korral veel 2 korda ja kanna ka need mõõtmistulemused tabelisse.</w:t>
      </w:r>
    </w:p>
    <w:p w:rsidR="00172A97" w:rsidRDefault="00530AD6">
      <w:pPr>
        <w:numPr>
          <w:ilvl w:val="0"/>
          <w:numId w:val="2"/>
        </w:numPr>
        <w:rPr>
          <w:sz w:val="22"/>
          <w:szCs w:val="22"/>
        </w:rPr>
      </w:pPr>
      <w:r>
        <w:rPr>
          <w:sz w:val="22"/>
          <w:szCs w:val="22"/>
        </w:rPr>
        <w:t>Teises ja kolmandas katseseerias aseta põrkeraua ots 15 cm võrra lõpupiirajale lähemale (vastavate nihete pikkused on juba kantud tabelisse) ning korda katseid.</w:t>
      </w:r>
    </w:p>
    <w:p w:rsidR="00172A97" w:rsidRDefault="00172A97">
      <w:pPr>
        <w:rPr>
          <w:sz w:val="16"/>
          <w:szCs w:val="16"/>
        </w:rPr>
      </w:pPr>
    </w:p>
    <w:p w:rsidR="00172A97" w:rsidRDefault="00530AD6">
      <w:pPr>
        <w:rPr>
          <w:sz w:val="22"/>
          <w:szCs w:val="22"/>
        </w:rPr>
      </w:pPr>
      <w:r>
        <w:rPr>
          <w:sz w:val="22"/>
          <w:szCs w:val="22"/>
        </w:rPr>
        <w:t>Relsi otste kõrguste vahe h = 2,5 cm, kaldpinna kogupikkus L = 122 cm.</w:t>
      </w:r>
    </w:p>
    <w:p w:rsidR="00172A97" w:rsidRDefault="00172A97">
      <w:pPr>
        <w:rPr>
          <w:sz w:val="16"/>
          <w:szCs w:val="16"/>
        </w:rPr>
      </w:pPr>
    </w:p>
    <w:tbl>
      <w:tblPr>
        <w:tblStyle w:val="a"/>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3"/>
        <w:gridCol w:w="1195"/>
        <w:gridCol w:w="1276"/>
        <w:gridCol w:w="1276"/>
        <w:gridCol w:w="1275"/>
        <w:gridCol w:w="1418"/>
        <w:gridCol w:w="1276"/>
        <w:gridCol w:w="1275"/>
      </w:tblGrid>
      <w:tr w:rsidR="00172A97">
        <w:tc>
          <w:tcPr>
            <w:tcW w:w="1323" w:type="dxa"/>
          </w:tcPr>
          <w:p w:rsidR="00172A97" w:rsidRDefault="00530AD6">
            <w:pPr>
              <w:jc w:val="center"/>
            </w:pPr>
            <w:r>
              <w:t>Katseseeria nr.</w:t>
            </w:r>
          </w:p>
        </w:tc>
        <w:tc>
          <w:tcPr>
            <w:tcW w:w="1195" w:type="dxa"/>
          </w:tcPr>
          <w:p w:rsidR="00172A97" w:rsidRDefault="00530AD6">
            <w:pPr>
              <w:jc w:val="center"/>
            </w:pPr>
            <w:r>
              <w:t>Nihe s /m</w:t>
            </w:r>
          </w:p>
        </w:tc>
        <w:tc>
          <w:tcPr>
            <w:tcW w:w="1276" w:type="dxa"/>
          </w:tcPr>
          <w:p w:rsidR="00172A97" w:rsidRDefault="00530AD6">
            <w:pPr>
              <w:jc w:val="center"/>
            </w:pPr>
            <w:r>
              <w:t>Aeg t</w:t>
            </w:r>
            <w:r>
              <w:rPr>
                <w:vertAlign w:val="subscript"/>
              </w:rPr>
              <w:t>1</w:t>
            </w:r>
            <w:r>
              <w:t>/ s</w:t>
            </w:r>
          </w:p>
        </w:tc>
        <w:tc>
          <w:tcPr>
            <w:tcW w:w="1276" w:type="dxa"/>
          </w:tcPr>
          <w:p w:rsidR="00172A97" w:rsidRDefault="00530AD6">
            <w:pPr>
              <w:jc w:val="center"/>
            </w:pPr>
            <w:r>
              <w:t>Aeg t</w:t>
            </w:r>
            <w:r>
              <w:rPr>
                <w:vertAlign w:val="subscript"/>
              </w:rPr>
              <w:t>2</w:t>
            </w:r>
            <w:r>
              <w:t>/ s</w:t>
            </w:r>
          </w:p>
        </w:tc>
        <w:tc>
          <w:tcPr>
            <w:tcW w:w="1275" w:type="dxa"/>
          </w:tcPr>
          <w:p w:rsidR="00172A97" w:rsidRDefault="00530AD6">
            <w:pPr>
              <w:jc w:val="center"/>
            </w:pPr>
            <w:r>
              <w:t>Aeg t</w:t>
            </w:r>
            <w:r>
              <w:rPr>
                <w:vertAlign w:val="subscript"/>
              </w:rPr>
              <w:t>3</w:t>
            </w:r>
            <w:r>
              <w:t>/ s</w:t>
            </w:r>
          </w:p>
        </w:tc>
        <w:tc>
          <w:tcPr>
            <w:tcW w:w="1418" w:type="dxa"/>
          </w:tcPr>
          <w:p w:rsidR="00172A97" w:rsidRDefault="00530AD6">
            <w:pPr>
              <w:jc w:val="center"/>
            </w:pPr>
            <w:r>
              <w:t>Keskm. aeg t /s</w:t>
            </w:r>
          </w:p>
        </w:tc>
        <w:tc>
          <w:tcPr>
            <w:tcW w:w="1276" w:type="dxa"/>
          </w:tcPr>
          <w:p w:rsidR="00172A97" w:rsidRDefault="00530AD6">
            <w:pPr>
              <w:jc w:val="center"/>
            </w:pPr>
            <w:r>
              <w:t>Kiirendus</w:t>
            </w:r>
          </w:p>
          <w:p w:rsidR="00172A97" w:rsidRDefault="00530AD6">
            <w:pPr>
              <w:jc w:val="center"/>
            </w:pPr>
            <w:r>
              <w:t>a / m/s</w:t>
            </w:r>
            <w:r>
              <w:rPr>
                <w:vertAlign w:val="superscript"/>
              </w:rPr>
              <w:t>2</w:t>
            </w:r>
          </w:p>
        </w:tc>
        <w:tc>
          <w:tcPr>
            <w:tcW w:w="1275" w:type="dxa"/>
          </w:tcPr>
          <w:p w:rsidR="00172A97" w:rsidRDefault="00530AD6">
            <w:pPr>
              <w:jc w:val="center"/>
            </w:pPr>
            <w:r>
              <w:t>Hetkkiirus</w:t>
            </w:r>
          </w:p>
          <w:p w:rsidR="00172A97" w:rsidRDefault="00530AD6">
            <w:pPr>
              <w:jc w:val="center"/>
            </w:pPr>
            <w:r>
              <w:t>v / m/s</w:t>
            </w:r>
          </w:p>
        </w:tc>
      </w:tr>
      <w:tr w:rsidR="00172A97">
        <w:trPr>
          <w:trHeight w:val="454"/>
        </w:trPr>
        <w:tc>
          <w:tcPr>
            <w:tcW w:w="1323" w:type="dxa"/>
            <w:vAlign w:val="center"/>
          </w:tcPr>
          <w:p w:rsidR="00172A97" w:rsidRDefault="00530AD6">
            <w:pPr>
              <w:jc w:val="center"/>
            </w:pPr>
            <w:r>
              <w:t>1</w:t>
            </w:r>
          </w:p>
        </w:tc>
        <w:tc>
          <w:tcPr>
            <w:tcW w:w="1195" w:type="dxa"/>
            <w:vAlign w:val="center"/>
          </w:tcPr>
          <w:p w:rsidR="00172A97" w:rsidRDefault="00530AD6">
            <w:pPr>
              <w:jc w:val="center"/>
            </w:pPr>
            <w:r>
              <w:t>0,95</w:t>
            </w:r>
          </w:p>
        </w:tc>
        <w:tc>
          <w:tcPr>
            <w:tcW w:w="1276" w:type="dxa"/>
            <w:vAlign w:val="center"/>
          </w:tcPr>
          <w:p w:rsidR="00172A97" w:rsidRDefault="00172A97"/>
        </w:tc>
        <w:tc>
          <w:tcPr>
            <w:tcW w:w="1276" w:type="dxa"/>
            <w:vAlign w:val="center"/>
          </w:tcPr>
          <w:p w:rsidR="00172A97" w:rsidRDefault="00172A97"/>
        </w:tc>
        <w:tc>
          <w:tcPr>
            <w:tcW w:w="1275" w:type="dxa"/>
            <w:vAlign w:val="center"/>
          </w:tcPr>
          <w:p w:rsidR="00172A97" w:rsidRDefault="00172A97"/>
        </w:tc>
        <w:tc>
          <w:tcPr>
            <w:tcW w:w="1418" w:type="dxa"/>
            <w:vAlign w:val="center"/>
          </w:tcPr>
          <w:p w:rsidR="00172A97" w:rsidRDefault="00172A97"/>
        </w:tc>
        <w:tc>
          <w:tcPr>
            <w:tcW w:w="1276" w:type="dxa"/>
            <w:vAlign w:val="center"/>
          </w:tcPr>
          <w:p w:rsidR="00172A97" w:rsidRDefault="00172A97"/>
        </w:tc>
        <w:tc>
          <w:tcPr>
            <w:tcW w:w="1275" w:type="dxa"/>
            <w:vAlign w:val="center"/>
          </w:tcPr>
          <w:p w:rsidR="00172A97" w:rsidRDefault="00172A97"/>
        </w:tc>
      </w:tr>
      <w:tr w:rsidR="00172A97">
        <w:trPr>
          <w:trHeight w:val="454"/>
        </w:trPr>
        <w:tc>
          <w:tcPr>
            <w:tcW w:w="1323" w:type="dxa"/>
            <w:vAlign w:val="center"/>
          </w:tcPr>
          <w:p w:rsidR="00172A97" w:rsidRDefault="00530AD6">
            <w:pPr>
              <w:jc w:val="center"/>
            </w:pPr>
            <w:r>
              <w:t>2</w:t>
            </w:r>
          </w:p>
        </w:tc>
        <w:tc>
          <w:tcPr>
            <w:tcW w:w="1195" w:type="dxa"/>
            <w:vAlign w:val="center"/>
          </w:tcPr>
          <w:p w:rsidR="00172A97" w:rsidRDefault="00530AD6">
            <w:pPr>
              <w:jc w:val="center"/>
            </w:pPr>
            <w:r>
              <w:t>0,80</w:t>
            </w:r>
          </w:p>
        </w:tc>
        <w:tc>
          <w:tcPr>
            <w:tcW w:w="1276" w:type="dxa"/>
            <w:vAlign w:val="center"/>
          </w:tcPr>
          <w:p w:rsidR="00172A97" w:rsidRDefault="00172A97"/>
        </w:tc>
        <w:tc>
          <w:tcPr>
            <w:tcW w:w="1276" w:type="dxa"/>
            <w:vAlign w:val="center"/>
          </w:tcPr>
          <w:p w:rsidR="00172A97" w:rsidRDefault="00172A97"/>
        </w:tc>
        <w:tc>
          <w:tcPr>
            <w:tcW w:w="1275" w:type="dxa"/>
            <w:vAlign w:val="center"/>
          </w:tcPr>
          <w:p w:rsidR="00172A97" w:rsidRDefault="00172A97"/>
        </w:tc>
        <w:tc>
          <w:tcPr>
            <w:tcW w:w="1418" w:type="dxa"/>
            <w:vAlign w:val="center"/>
          </w:tcPr>
          <w:p w:rsidR="00172A97" w:rsidRDefault="00172A97"/>
        </w:tc>
        <w:tc>
          <w:tcPr>
            <w:tcW w:w="1276" w:type="dxa"/>
            <w:vAlign w:val="center"/>
          </w:tcPr>
          <w:p w:rsidR="00172A97" w:rsidRDefault="00172A97"/>
        </w:tc>
        <w:tc>
          <w:tcPr>
            <w:tcW w:w="1275" w:type="dxa"/>
            <w:vAlign w:val="center"/>
          </w:tcPr>
          <w:p w:rsidR="00172A97" w:rsidRDefault="00172A97"/>
        </w:tc>
      </w:tr>
      <w:tr w:rsidR="00172A97">
        <w:trPr>
          <w:trHeight w:val="454"/>
        </w:trPr>
        <w:tc>
          <w:tcPr>
            <w:tcW w:w="1323" w:type="dxa"/>
            <w:vAlign w:val="center"/>
          </w:tcPr>
          <w:p w:rsidR="00172A97" w:rsidRDefault="00530AD6">
            <w:pPr>
              <w:jc w:val="center"/>
            </w:pPr>
            <w:r>
              <w:t>3</w:t>
            </w:r>
          </w:p>
        </w:tc>
        <w:tc>
          <w:tcPr>
            <w:tcW w:w="1195" w:type="dxa"/>
            <w:vAlign w:val="center"/>
          </w:tcPr>
          <w:p w:rsidR="00172A97" w:rsidRDefault="00530AD6">
            <w:pPr>
              <w:jc w:val="center"/>
            </w:pPr>
            <w:r>
              <w:t>0,65</w:t>
            </w:r>
          </w:p>
        </w:tc>
        <w:tc>
          <w:tcPr>
            <w:tcW w:w="1276" w:type="dxa"/>
            <w:vAlign w:val="center"/>
          </w:tcPr>
          <w:p w:rsidR="00172A97" w:rsidRDefault="00172A97"/>
        </w:tc>
        <w:tc>
          <w:tcPr>
            <w:tcW w:w="1276" w:type="dxa"/>
            <w:vAlign w:val="center"/>
          </w:tcPr>
          <w:p w:rsidR="00172A97" w:rsidRDefault="00172A97"/>
        </w:tc>
        <w:tc>
          <w:tcPr>
            <w:tcW w:w="1275" w:type="dxa"/>
            <w:vAlign w:val="center"/>
          </w:tcPr>
          <w:p w:rsidR="00172A97" w:rsidRDefault="00172A97"/>
        </w:tc>
        <w:tc>
          <w:tcPr>
            <w:tcW w:w="1418" w:type="dxa"/>
            <w:vAlign w:val="center"/>
          </w:tcPr>
          <w:p w:rsidR="00172A97" w:rsidRDefault="00172A97"/>
        </w:tc>
        <w:tc>
          <w:tcPr>
            <w:tcW w:w="1276" w:type="dxa"/>
            <w:vAlign w:val="center"/>
          </w:tcPr>
          <w:p w:rsidR="00172A97" w:rsidRDefault="00172A97"/>
        </w:tc>
        <w:tc>
          <w:tcPr>
            <w:tcW w:w="1275" w:type="dxa"/>
            <w:vAlign w:val="center"/>
          </w:tcPr>
          <w:p w:rsidR="00172A97" w:rsidRDefault="00172A97"/>
        </w:tc>
      </w:tr>
    </w:tbl>
    <w:p w:rsidR="00172A97" w:rsidRDefault="00172A97">
      <w:pPr>
        <w:rPr>
          <w:sz w:val="22"/>
          <w:szCs w:val="22"/>
        </w:rPr>
      </w:pPr>
    </w:p>
    <w:p w:rsidR="00172A97" w:rsidRDefault="00530AD6">
      <w:pPr>
        <w:jc w:val="center"/>
        <w:rPr>
          <w:b/>
          <w:sz w:val="22"/>
          <w:szCs w:val="22"/>
        </w:rPr>
      </w:pPr>
      <w:r>
        <w:rPr>
          <w:b/>
          <w:sz w:val="22"/>
          <w:szCs w:val="22"/>
        </w:rPr>
        <w:t>II OSA</w:t>
      </w:r>
    </w:p>
    <w:p w:rsidR="00172A97" w:rsidRDefault="00530AD6">
      <w:pPr>
        <w:rPr>
          <w:b/>
          <w:sz w:val="22"/>
          <w:szCs w:val="22"/>
        </w:rPr>
      </w:pPr>
      <w:r>
        <w:rPr>
          <w:b/>
          <w:sz w:val="22"/>
          <w:szCs w:val="22"/>
        </w:rPr>
        <w:t>Töö käik.</w:t>
      </w:r>
    </w:p>
    <w:p w:rsidR="00172A97" w:rsidRDefault="00172A97">
      <w:pPr>
        <w:rPr>
          <w:sz w:val="16"/>
          <w:szCs w:val="16"/>
        </w:rPr>
      </w:pPr>
    </w:p>
    <w:p w:rsidR="00172A97" w:rsidRDefault="00530AD6">
      <w:pPr>
        <w:numPr>
          <w:ilvl w:val="0"/>
          <w:numId w:val="2"/>
        </w:numPr>
        <w:rPr>
          <w:sz w:val="22"/>
          <w:szCs w:val="22"/>
        </w:rPr>
      </w:pPr>
      <w:r>
        <w:rPr>
          <w:sz w:val="22"/>
          <w:szCs w:val="22"/>
        </w:rPr>
        <w:t>Käivita nutivanker ja andmelugeja.</w:t>
      </w:r>
    </w:p>
    <w:p w:rsidR="00172A97" w:rsidRDefault="00530AD6">
      <w:pPr>
        <w:numPr>
          <w:ilvl w:val="0"/>
          <w:numId w:val="2"/>
        </w:numPr>
        <w:rPr>
          <w:sz w:val="22"/>
          <w:szCs w:val="22"/>
        </w:rPr>
      </w:pPr>
      <w:r>
        <w:rPr>
          <w:sz w:val="22"/>
          <w:szCs w:val="22"/>
        </w:rPr>
        <w:t>Menüüst „Sensorid“ vali „juhtmevaba sensori seadistamine“ ja selle alt „Go Direct“. Oota veidi, kuni ekraanile ilmub sama ID number, mis on kirjutatud nutivankri küljele, vali see ja vajuta „Ok“.</w:t>
      </w:r>
    </w:p>
    <w:p w:rsidR="00172A97" w:rsidRDefault="00530AD6">
      <w:pPr>
        <w:numPr>
          <w:ilvl w:val="0"/>
          <w:numId w:val="2"/>
        </w:numPr>
        <w:rPr>
          <w:sz w:val="22"/>
          <w:szCs w:val="22"/>
        </w:rPr>
      </w:pPr>
      <w:r>
        <w:rPr>
          <w:sz w:val="22"/>
          <w:szCs w:val="22"/>
        </w:rPr>
        <w:t>Mõõtmisrežiim on ajapõhine ja soovituslik kestvus 5 sekundit.</w:t>
      </w:r>
    </w:p>
    <w:p w:rsidR="00172A97" w:rsidRDefault="00530AD6">
      <w:pPr>
        <w:numPr>
          <w:ilvl w:val="0"/>
          <w:numId w:val="2"/>
        </w:numPr>
        <w:rPr>
          <w:sz w:val="22"/>
          <w:szCs w:val="22"/>
        </w:rPr>
      </w:pPr>
      <w:r>
        <w:rPr>
          <w:sz w:val="22"/>
          <w:szCs w:val="22"/>
        </w:rPr>
        <w:t>Aseta vankri põrkeraua ots jällegi kohakuti relsi serval asetseva joonlaua jaotisega 20 cm. Puudutades punast kasti, saad avanenud menüüs valida selle koha relsil koordinaattelje alguspunktiks, puudutades välja „nulli“. Veel muuda telje suunda, valides menüüst „muuda märki“.</w:t>
      </w:r>
    </w:p>
    <w:p w:rsidR="00172A97" w:rsidRDefault="00530AD6">
      <w:pPr>
        <w:numPr>
          <w:ilvl w:val="0"/>
          <w:numId w:val="2"/>
        </w:numPr>
        <w:rPr>
          <w:sz w:val="22"/>
          <w:szCs w:val="22"/>
        </w:rPr>
      </w:pPr>
      <w:r>
        <w:rPr>
          <w:sz w:val="22"/>
          <w:szCs w:val="22"/>
        </w:rPr>
        <w:t>Vaata, et vankrike oleks täpselt algasendis. Käivita andmelugejas mõõtmine ning lase vanker veerema.</w:t>
      </w:r>
    </w:p>
    <w:p w:rsidR="00172A97" w:rsidRDefault="00530AD6">
      <w:pPr>
        <w:numPr>
          <w:ilvl w:val="0"/>
          <w:numId w:val="2"/>
        </w:numPr>
        <w:rPr>
          <w:sz w:val="22"/>
          <w:szCs w:val="22"/>
        </w:rPr>
      </w:pPr>
      <w:r>
        <w:rPr>
          <w:sz w:val="22"/>
          <w:szCs w:val="22"/>
        </w:rPr>
        <w:t>Ekraanile kuvatud graafikutelt on näha vankri koordinaadi ja kiiruse sõltuvus ajast. Määrake kiiruse graafikult tipupunkti puudutamise teel vankri maksimaalne kiirus ehk kiiruse hetkväärtus v vahetult enne põrget lõpupiirajaga ja kirjutage tulemus alljärgnevasse tabelisse.</w:t>
      </w:r>
    </w:p>
    <w:p w:rsidR="00172A97" w:rsidRDefault="00530AD6">
      <w:pPr>
        <w:numPr>
          <w:ilvl w:val="0"/>
          <w:numId w:val="2"/>
        </w:numPr>
        <w:rPr>
          <w:sz w:val="22"/>
          <w:szCs w:val="22"/>
        </w:rPr>
      </w:pPr>
      <w:r>
        <w:rPr>
          <w:sz w:val="22"/>
          <w:szCs w:val="22"/>
        </w:rPr>
        <w:t>Puudutades kiiruse graafiku teljel sõna „kiirus“ ja valides rippmenüüst „kiirendus“, tekib graafik, mis näitab kiirenduse sõltuvust ajast. Lohistades pliiatsiga üle ekraani, saate valida uuritava ajavahemiku. Vali menüüst „analüüs“ „statistika“ ja selle alt „kiirendus“. Kirjuta tabelisse kiirenduse keskmine väärtus ja standardhälve.</w:t>
      </w:r>
    </w:p>
    <w:p w:rsidR="00172A97" w:rsidRDefault="00530AD6">
      <w:pPr>
        <w:numPr>
          <w:ilvl w:val="0"/>
          <w:numId w:val="2"/>
        </w:numPr>
        <w:rPr>
          <w:sz w:val="22"/>
          <w:szCs w:val="22"/>
        </w:rPr>
      </w:pPr>
      <w:r>
        <w:rPr>
          <w:sz w:val="22"/>
          <w:szCs w:val="22"/>
        </w:rPr>
        <w:t>Vajutades ekraani parempoolses ülanurgas ikoonile „sahtel“, saad sooritada uue katse. Korda sama katset kaks korda ja täida tabel lõpuni.</w:t>
      </w:r>
    </w:p>
    <w:p w:rsidR="00172A97" w:rsidRDefault="00172A97">
      <w:pPr>
        <w:rPr>
          <w:sz w:val="16"/>
          <w:szCs w:val="16"/>
        </w:rPr>
      </w:pPr>
    </w:p>
    <w:tbl>
      <w:tblPr>
        <w:tblStyle w:val="a0"/>
        <w:tblW w:w="8613"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134"/>
        <w:gridCol w:w="2268"/>
        <w:gridCol w:w="2126"/>
        <w:gridCol w:w="1984"/>
      </w:tblGrid>
      <w:tr w:rsidR="00172A97">
        <w:tc>
          <w:tcPr>
            <w:tcW w:w="1101" w:type="dxa"/>
          </w:tcPr>
          <w:p w:rsidR="00172A97" w:rsidRDefault="00530AD6">
            <w:pPr>
              <w:jc w:val="center"/>
            </w:pPr>
            <w:r>
              <w:t>Katse nr.</w:t>
            </w:r>
          </w:p>
        </w:tc>
        <w:tc>
          <w:tcPr>
            <w:tcW w:w="1134" w:type="dxa"/>
          </w:tcPr>
          <w:p w:rsidR="00172A97" w:rsidRDefault="00530AD6">
            <w:pPr>
              <w:jc w:val="center"/>
            </w:pPr>
            <w:r>
              <w:t>Nihe</w:t>
            </w:r>
          </w:p>
          <w:p w:rsidR="00172A97" w:rsidRDefault="00530AD6">
            <w:pPr>
              <w:jc w:val="center"/>
            </w:pPr>
            <w:r>
              <w:t>s /m</w:t>
            </w:r>
          </w:p>
        </w:tc>
        <w:tc>
          <w:tcPr>
            <w:tcW w:w="2268" w:type="dxa"/>
          </w:tcPr>
          <w:p w:rsidR="00172A97" w:rsidRDefault="00530AD6">
            <w:pPr>
              <w:jc w:val="center"/>
            </w:pPr>
            <w:r>
              <w:t>Maksimaalne kiirus</w:t>
            </w:r>
          </w:p>
          <w:p w:rsidR="00172A97" w:rsidRDefault="00530AD6">
            <w:pPr>
              <w:jc w:val="center"/>
            </w:pPr>
            <w:r>
              <w:t>v / m/s</w:t>
            </w:r>
          </w:p>
        </w:tc>
        <w:tc>
          <w:tcPr>
            <w:tcW w:w="2126" w:type="dxa"/>
          </w:tcPr>
          <w:p w:rsidR="00172A97" w:rsidRDefault="00530AD6">
            <w:pPr>
              <w:jc w:val="center"/>
            </w:pPr>
            <w:r>
              <w:t>Kiirendus</w:t>
            </w:r>
          </w:p>
          <w:p w:rsidR="00172A97" w:rsidRDefault="00530AD6">
            <w:pPr>
              <w:jc w:val="center"/>
            </w:pPr>
            <w:r>
              <w:t>a / m/s</w:t>
            </w:r>
            <w:r>
              <w:rPr>
                <w:vertAlign w:val="superscript"/>
              </w:rPr>
              <w:t>2</w:t>
            </w:r>
          </w:p>
        </w:tc>
        <w:tc>
          <w:tcPr>
            <w:tcW w:w="1984" w:type="dxa"/>
          </w:tcPr>
          <w:p w:rsidR="00172A97" w:rsidRDefault="00530AD6">
            <w:pPr>
              <w:jc w:val="center"/>
            </w:pPr>
            <w:r>
              <w:t>Standardhälve</w:t>
            </w:r>
          </w:p>
          <w:p w:rsidR="00172A97" w:rsidRDefault="00530AD6">
            <w:pPr>
              <w:jc w:val="center"/>
            </w:pPr>
            <w:r>
              <w:t>Δa / m/s</w:t>
            </w:r>
            <w:r>
              <w:rPr>
                <w:vertAlign w:val="superscript"/>
              </w:rPr>
              <w:t>2</w:t>
            </w:r>
          </w:p>
        </w:tc>
      </w:tr>
      <w:tr w:rsidR="00172A97">
        <w:trPr>
          <w:trHeight w:val="454"/>
        </w:trPr>
        <w:tc>
          <w:tcPr>
            <w:tcW w:w="1101" w:type="dxa"/>
            <w:vAlign w:val="center"/>
          </w:tcPr>
          <w:p w:rsidR="00172A97" w:rsidRDefault="00530AD6">
            <w:pPr>
              <w:jc w:val="center"/>
            </w:pPr>
            <w:r>
              <w:t>1</w:t>
            </w:r>
          </w:p>
        </w:tc>
        <w:tc>
          <w:tcPr>
            <w:tcW w:w="1134" w:type="dxa"/>
            <w:vMerge w:val="restart"/>
            <w:vAlign w:val="center"/>
          </w:tcPr>
          <w:p w:rsidR="00172A97" w:rsidRDefault="00530AD6">
            <w:pPr>
              <w:jc w:val="center"/>
            </w:pPr>
            <w:r>
              <w:t>0,95</w:t>
            </w:r>
          </w:p>
        </w:tc>
        <w:tc>
          <w:tcPr>
            <w:tcW w:w="2268" w:type="dxa"/>
            <w:vAlign w:val="center"/>
          </w:tcPr>
          <w:p w:rsidR="00172A97" w:rsidRDefault="00172A97"/>
        </w:tc>
        <w:tc>
          <w:tcPr>
            <w:tcW w:w="2126" w:type="dxa"/>
            <w:vAlign w:val="center"/>
          </w:tcPr>
          <w:p w:rsidR="00172A97" w:rsidRDefault="00172A97"/>
        </w:tc>
        <w:tc>
          <w:tcPr>
            <w:tcW w:w="1984" w:type="dxa"/>
          </w:tcPr>
          <w:p w:rsidR="00172A97" w:rsidRDefault="00172A97"/>
        </w:tc>
      </w:tr>
      <w:tr w:rsidR="00172A97">
        <w:trPr>
          <w:trHeight w:val="454"/>
        </w:trPr>
        <w:tc>
          <w:tcPr>
            <w:tcW w:w="1101" w:type="dxa"/>
            <w:vAlign w:val="center"/>
          </w:tcPr>
          <w:p w:rsidR="00172A97" w:rsidRDefault="00530AD6">
            <w:pPr>
              <w:jc w:val="center"/>
            </w:pPr>
            <w:r>
              <w:t>2</w:t>
            </w:r>
          </w:p>
        </w:tc>
        <w:tc>
          <w:tcPr>
            <w:tcW w:w="1134" w:type="dxa"/>
            <w:vMerge/>
            <w:vAlign w:val="center"/>
          </w:tcPr>
          <w:p w:rsidR="00172A97" w:rsidRDefault="00172A97">
            <w:pPr>
              <w:widowControl w:val="0"/>
              <w:pBdr>
                <w:top w:val="nil"/>
                <w:left w:val="nil"/>
                <w:bottom w:val="nil"/>
                <w:right w:val="nil"/>
                <w:between w:val="nil"/>
              </w:pBdr>
              <w:spacing w:line="276" w:lineRule="auto"/>
            </w:pPr>
          </w:p>
        </w:tc>
        <w:tc>
          <w:tcPr>
            <w:tcW w:w="2268" w:type="dxa"/>
            <w:vAlign w:val="center"/>
          </w:tcPr>
          <w:p w:rsidR="00172A97" w:rsidRDefault="00172A97"/>
        </w:tc>
        <w:tc>
          <w:tcPr>
            <w:tcW w:w="2126" w:type="dxa"/>
            <w:vAlign w:val="center"/>
          </w:tcPr>
          <w:p w:rsidR="00172A97" w:rsidRDefault="00172A97"/>
        </w:tc>
        <w:tc>
          <w:tcPr>
            <w:tcW w:w="1984" w:type="dxa"/>
          </w:tcPr>
          <w:p w:rsidR="00172A97" w:rsidRDefault="00172A97"/>
        </w:tc>
      </w:tr>
      <w:tr w:rsidR="00172A97">
        <w:trPr>
          <w:trHeight w:val="454"/>
        </w:trPr>
        <w:tc>
          <w:tcPr>
            <w:tcW w:w="1101" w:type="dxa"/>
            <w:vAlign w:val="center"/>
          </w:tcPr>
          <w:p w:rsidR="00172A97" w:rsidRDefault="00530AD6">
            <w:pPr>
              <w:jc w:val="center"/>
            </w:pPr>
            <w:r>
              <w:t>3</w:t>
            </w:r>
          </w:p>
        </w:tc>
        <w:tc>
          <w:tcPr>
            <w:tcW w:w="1134" w:type="dxa"/>
            <w:vMerge/>
            <w:vAlign w:val="center"/>
          </w:tcPr>
          <w:p w:rsidR="00172A97" w:rsidRDefault="00172A97">
            <w:pPr>
              <w:widowControl w:val="0"/>
              <w:pBdr>
                <w:top w:val="nil"/>
                <w:left w:val="nil"/>
                <w:bottom w:val="nil"/>
                <w:right w:val="nil"/>
                <w:between w:val="nil"/>
              </w:pBdr>
              <w:spacing w:line="276" w:lineRule="auto"/>
            </w:pPr>
          </w:p>
        </w:tc>
        <w:tc>
          <w:tcPr>
            <w:tcW w:w="2268" w:type="dxa"/>
            <w:vAlign w:val="center"/>
          </w:tcPr>
          <w:p w:rsidR="00172A97" w:rsidRDefault="00172A97"/>
        </w:tc>
        <w:tc>
          <w:tcPr>
            <w:tcW w:w="2126" w:type="dxa"/>
            <w:vAlign w:val="center"/>
          </w:tcPr>
          <w:p w:rsidR="00172A97" w:rsidRDefault="00172A97"/>
        </w:tc>
        <w:tc>
          <w:tcPr>
            <w:tcW w:w="1984" w:type="dxa"/>
          </w:tcPr>
          <w:p w:rsidR="00172A97" w:rsidRDefault="00172A97"/>
        </w:tc>
      </w:tr>
    </w:tbl>
    <w:p w:rsidR="00172A97" w:rsidRDefault="00172A97">
      <w:pPr>
        <w:rPr>
          <w:sz w:val="16"/>
          <w:szCs w:val="16"/>
        </w:rPr>
      </w:pPr>
    </w:p>
    <w:p w:rsidR="00172A97" w:rsidRDefault="00530AD6">
      <w:pPr>
        <w:numPr>
          <w:ilvl w:val="0"/>
          <w:numId w:val="2"/>
        </w:numPr>
        <w:rPr>
          <w:sz w:val="22"/>
          <w:szCs w:val="22"/>
        </w:rPr>
      </w:pPr>
      <w:r>
        <w:rPr>
          <w:sz w:val="22"/>
          <w:szCs w:val="22"/>
        </w:rPr>
        <w:lastRenderedPageBreak/>
        <w:t>Vali menüüst „Graafik“ rippmenüüst „Kuva graafik“ ja seal „Kõik graafikud“ ning järgnevalt ikoonilt „mõõtmised“ rippmenüüst „Kõik mõõtmised“. Nüüd kuvatakse samasse teljestikku kõik kolm graafikujoont.</w:t>
      </w:r>
    </w:p>
    <w:p w:rsidR="00172A97" w:rsidRDefault="00530AD6">
      <w:pPr>
        <w:numPr>
          <w:ilvl w:val="0"/>
          <w:numId w:val="2"/>
        </w:numPr>
        <w:rPr>
          <w:sz w:val="22"/>
          <w:szCs w:val="22"/>
        </w:rPr>
      </w:pPr>
      <w:r>
        <w:rPr>
          <w:sz w:val="22"/>
          <w:szCs w:val="22"/>
        </w:rPr>
        <w:t>Uurides graafikuid, määra vankri liikumise liik ja seda liikumist kirjeldavad seosed.</w:t>
      </w: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530AD6">
      <w:pPr>
        <w:numPr>
          <w:ilvl w:val="0"/>
          <w:numId w:val="2"/>
        </w:numPr>
        <w:rPr>
          <w:sz w:val="22"/>
          <w:szCs w:val="22"/>
        </w:rPr>
      </w:pPr>
      <w:r>
        <w:rPr>
          <w:sz w:val="22"/>
          <w:szCs w:val="22"/>
        </w:rPr>
        <w:t>Kasutades valitud seoseid, täida I osa tabelis arvutamise teel tühjad lahtrid ja võrdle tulemusi töö II osa tulemustega.</w:t>
      </w: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530AD6">
      <w:pPr>
        <w:numPr>
          <w:ilvl w:val="0"/>
          <w:numId w:val="2"/>
        </w:numPr>
        <w:rPr>
          <w:sz w:val="22"/>
          <w:szCs w:val="22"/>
        </w:rPr>
      </w:pPr>
      <w:r>
        <w:rPr>
          <w:sz w:val="22"/>
          <w:szCs w:val="22"/>
        </w:rPr>
        <w:t>Uurides eelnevalt liikumist kirjeldavaid seoseid ennusta, milline on nihke s matemaatiline sõltuvus ajast t? Aga milline sõltuvus nihke s ja aja ruudu t</w:t>
      </w:r>
      <w:r>
        <w:rPr>
          <w:sz w:val="22"/>
          <w:szCs w:val="22"/>
          <w:vertAlign w:val="superscript"/>
        </w:rPr>
        <w:t>2</w:t>
      </w:r>
      <w:r>
        <w:rPr>
          <w:sz w:val="22"/>
          <w:szCs w:val="22"/>
        </w:rPr>
        <w:t xml:space="preserve"> vahel? Kumba neist on lihtsam graafikul uurida? </w:t>
      </w:r>
    </w:p>
    <w:p w:rsidR="00172A97" w:rsidRDefault="00172A97">
      <w:pPr>
        <w:rPr>
          <w:sz w:val="22"/>
          <w:szCs w:val="22"/>
        </w:rPr>
      </w:pPr>
    </w:p>
    <w:p w:rsidR="00172A97" w:rsidRDefault="00172A97">
      <w:pPr>
        <w:rPr>
          <w:sz w:val="22"/>
          <w:szCs w:val="22"/>
        </w:rPr>
      </w:pPr>
    </w:p>
    <w:p w:rsidR="00172A97" w:rsidRDefault="00172A97">
      <w:pPr>
        <w:rPr>
          <w:sz w:val="22"/>
          <w:szCs w:val="22"/>
        </w:rPr>
      </w:pPr>
    </w:p>
    <w:p w:rsidR="00172A97" w:rsidRDefault="00530AD6">
      <w:pPr>
        <w:numPr>
          <w:ilvl w:val="0"/>
          <w:numId w:val="2"/>
        </w:numPr>
        <w:rPr>
          <w:sz w:val="22"/>
          <w:szCs w:val="22"/>
        </w:rPr>
      </w:pPr>
      <w:r>
        <w:rPr>
          <w:sz w:val="22"/>
          <w:szCs w:val="22"/>
        </w:rPr>
        <w:t>Joonista töö I osa tabeli alusel alljärgnevasse ruudustikku graafik, millel on kujutatud nihke s sõltuvust aja  ruudust t</w:t>
      </w:r>
      <w:r>
        <w:rPr>
          <w:sz w:val="22"/>
          <w:szCs w:val="22"/>
          <w:vertAlign w:val="superscript"/>
        </w:rPr>
        <w:t>2</w:t>
      </w:r>
      <w:r>
        <w:rPr>
          <w:sz w:val="22"/>
          <w:szCs w:val="22"/>
        </w:rPr>
        <w:t>. Teljed ristuvad punktis (0 m; 0 s). Ära ühenda graafiku punkte vaid tõmba graafikule sõltuvust iseloomustav trendijoon. Kuidas seda graafikut saaks tõlgendada?</w:t>
      </w:r>
    </w:p>
    <w:tbl>
      <w:tblPr>
        <w:tblStyle w:val="a1"/>
        <w:tblW w:w="7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r w:rsidR="00172A97">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c>
          <w:tcPr>
            <w:tcW w:w="284" w:type="dxa"/>
          </w:tcPr>
          <w:p w:rsidR="00172A97" w:rsidRDefault="00172A97">
            <w:pPr>
              <w:jc w:val="center"/>
            </w:pPr>
          </w:p>
        </w:tc>
      </w:tr>
    </w:tbl>
    <w:p w:rsidR="00172A97" w:rsidRDefault="00530AD6">
      <w:pPr>
        <w:numPr>
          <w:ilvl w:val="0"/>
          <w:numId w:val="2"/>
        </w:numPr>
        <w:jc w:val="both"/>
      </w:pPr>
      <w:r>
        <w:t>Anna hinnang enda sooritatud katse tulemustele.</w:t>
      </w:r>
    </w:p>
    <w:sectPr w:rsidR="00172A9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318" w:rsidRDefault="00252318">
      <w:r>
        <w:separator/>
      </w:r>
    </w:p>
  </w:endnote>
  <w:endnote w:type="continuationSeparator" w:id="0">
    <w:p w:rsidR="00252318" w:rsidRDefault="0025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7" w:rsidRDefault="00530AD6">
    <w:pPr>
      <w:rPr>
        <w:color w:val="000000"/>
        <w:sz w:val="16"/>
        <w:szCs w:val="16"/>
        <w:highlight w:val="white"/>
      </w:rPr>
    </w:pPr>
    <w:r>
      <w:rPr>
        <w:color w:val="000000"/>
        <w:sz w:val="16"/>
        <w:szCs w:val="16"/>
        <w:highlight w:val="white"/>
      </w:rPr>
      <w:t xml:space="preserve">Juhend on Euroopa Sotsiaalfondist Innove vahendusel toetust saanud projekti "Tallinna Reaalkoolis, Jakob Westholmi Gümnaasiumis, </w:t>
    </w:r>
    <w:r>
      <w:rPr>
        <w:noProof/>
        <w:lang w:eastAsia="et-EE"/>
      </w:rPr>
      <w:drawing>
        <wp:anchor distT="0" distB="0" distL="114300" distR="114300" simplePos="0" relativeHeight="251658240" behindDoc="0" locked="0" layoutInCell="1" hidden="0" allowOverlap="1">
          <wp:simplePos x="0" y="0"/>
          <wp:positionH relativeFrom="column">
            <wp:posOffset>5538470</wp:posOffset>
          </wp:positionH>
          <wp:positionV relativeFrom="paragraph">
            <wp:posOffset>-36829</wp:posOffset>
          </wp:positionV>
          <wp:extent cx="1202690" cy="69405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02690" cy="694055"/>
                  </a:xfrm>
                  <a:prstGeom prst="rect">
                    <a:avLst/>
                  </a:prstGeom>
                  <a:ln/>
                </pic:spPr>
              </pic:pic>
            </a:graphicData>
          </a:graphic>
        </wp:anchor>
      </w:drawing>
    </w:r>
  </w:p>
  <w:p w:rsidR="00172A97" w:rsidRDefault="00530AD6">
    <w:pPr>
      <w:rPr>
        <w:color w:val="000000"/>
        <w:sz w:val="16"/>
        <w:szCs w:val="16"/>
        <w:highlight w:val="white"/>
      </w:rPr>
    </w:pPr>
    <w:r>
      <w:rPr>
        <w:color w:val="000000"/>
        <w:sz w:val="16"/>
        <w:szCs w:val="16"/>
        <w:highlight w:val="white"/>
      </w:rPr>
      <w:t xml:space="preserve">Tallinna Südalinna Koolis ja Tallinna Kesklinna Põhikoolis keemia, füüsika ja bioloogia praktikumide läbi viimiseks </w:t>
    </w:r>
  </w:p>
  <w:p w:rsidR="00172A97" w:rsidRDefault="00530AD6">
    <w:pPr>
      <w:rPr>
        <w:color w:val="000000"/>
        <w:sz w:val="16"/>
        <w:szCs w:val="16"/>
        <w:highlight w:val="white"/>
      </w:rPr>
    </w:pPr>
    <w:r>
      <w:rPr>
        <w:color w:val="000000"/>
        <w:sz w:val="16"/>
        <w:szCs w:val="16"/>
        <w:highlight w:val="white"/>
      </w:rPr>
      <w:t>uuendusliku õppevara soetamine ja kasutusele võtmine" väljund.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318" w:rsidRDefault="00252318">
      <w:r>
        <w:separator/>
      </w:r>
    </w:p>
  </w:footnote>
  <w:footnote w:type="continuationSeparator" w:id="0">
    <w:p w:rsidR="00252318" w:rsidRDefault="002523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7C0C"/>
    <w:multiLevelType w:val="multilevel"/>
    <w:tmpl w:val="62F2486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C816D1"/>
    <w:multiLevelType w:val="multilevel"/>
    <w:tmpl w:val="086C85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97"/>
    <w:rsid w:val="00172A97"/>
    <w:rsid w:val="00252318"/>
    <w:rsid w:val="00530AD6"/>
    <w:rsid w:val="006C5D69"/>
    <w:rsid w:val="00AF739F"/>
    <w:rsid w:val="00F6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7FA6"/>
  <w15:docId w15:val="{67A7D6C0-4E52-4F90-A656-BEB92170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table" w:styleId="Kontuurtabel">
    <w:name w:val="Table Grid"/>
    <w:basedOn w:val="Normaaltabel"/>
    <w:rsid w:val="00906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rsid w:val="00D25981"/>
    <w:pPr>
      <w:tabs>
        <w:tab w:val="center" w:pos="4536"/>
        <w:tab w:val="right" w:pos="9072"/>
      </w:tabs>
    </w:pPr>
  </w:style>
  <w:style w:type="character" w:customStyle="1" w:styleId="PisMrk">
    <w:name w:val="Päis Märk"/>
    <w:link w:val="Pis"/>
    <w:rsid w:val="00D25981"/>
    <w:rPr>
      <w:sz w:val="24"/>
      <w:szCs w:val="24"/>
    </w:rPr>
  </w:style>
  <w:style w:type="paragraph" w:styleId="Jalus">
    <w:name w:val="footer"/>
    <w:basedOn w:val="Normaallaad"/>
    <w:link w:val="JalusMrk"/>
    <w:rsid w:val="00D25981"/>
    <w:pPr>
      <w:tabs>
        <w:tab w:val="center" w:pos="4536"/>
        <w:tab w:val="right" w:pos="9072"/>
      </w:tabs>
    </w:pPr>
  </w:style>
  <w:style w:type="character" w:customStyle="1" w:styleId="JalusMrk">
    <w:name w:val="Jalus Märk"/>
    <w:link w:val="Jalus"/>
    <w:rsid w:val="00D25981"/>
    <w:rPr>
      <w:sz w:val="24"/>
      <w:szCs w:val="24"/>
    </w:rPr>
  </w:style>
  <w:style w:type="character" w:styleId="Kohatitetekst">
    <w:name w:val="Placeholder Text"/>
    <w:basedOn w:val="Liguvaikefont"/>
    <w:uiPriority w:val="99"/>
    <w:semiHidden/>
    <w:rsid w:val="003B20C4"/>
    <w:rPr>
      <w:color w:val="808080"/>
    </w:rPr>
  </w:style>
  <w:style w:type="paragraph" w:styleId="Jutumullitekst">
    <w:name w:val="Balloon Text"/>
    <w:basedOn w:val="Normaallaad"/>
    <w:link w:val="JutumullitekstMrk"/>
    <w:rsid w:val="003B20C4"/>
    <w:rPr>
      <w:rFonts w:ascii="Tahoma" w:hAnsi="Tahoma" w:cs="Tahoma"/>
      <w:sz w:val="16"/>
      <w:szCs w:val="16"/>
    </w:rPr>
  </w:style>
  <w:style w:type="character" w:customStyle="1" w:styleId="JutumullitekstMrk">
    <w:name w:val="Jutumullitekst Märk"/>
    <w:basedOn w:val="Liguvaikefont"/>
    <w:link w:val="Jutumullitekst"/>
    <w:rsid w:val="003B20C4"/>
    <w:rPr>
      <w:rFonts w:ascii="Tahoma" w:hAnsi="Tahoma" w:cs="Tahoma"/>
      <w:sz w:val="16"/>
      <w:szCs w:val="16"/>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YjrT5SJzhXbq4fXnKpJu9qErQ==">AMUW2mXXYv3AMkieGvhMPsxXxuKGFj+L6I3pzAmOOtCFDUG3KSNAntYlh+34DvY9Poy4V/jLa9umscc2iUlK1VrdrmvYYYCOIjCfwlgSRiLi/yR38CrrMGQwbl9nPaXetr6eH3OpUB7e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878</Words>
  <Characters>5093</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36805012718</dc:creator>
  <cp:lastModifiedBy>Õpetaja</cp:lastModifiedBy>
  <cp:revision>5</cp:revision>
  <dcterms:created xsi:type="dcterms:W3CDTF">2020-12-21T15:54:00Z</dcterms:created>
  <dcterms:modified xsi:type="dcterms:W3CDTF">2021-09-18T13:15:00Z</dcterms:modified>
</cp:coreProperties>
</file>